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549986D8" w:rsidR="00142DCF" w:rsidRDefault="002678AD" w:rsidP="00694ADE">
            <w:r>
              <w:t>EBS1</w:t>
            </w:r>
            <w:r w:rsidR="00CA6936">
              <w:t>5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AD27543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6540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F0E633E" w:rsidR="0085052C" w:rsidRPr="0085052C" w:rsidRDefault="00A21B85" w:rsidP="007654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</w:t>
            </w:r>
            <w:r w:rsidR="00765403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1C575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51AA339C" w:rsidR="00AD2FB4" w:rsidRDefault="001C575E" w:rsidP="007654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76540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1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6C0E0988" w:rsidR="00AD2FB4" w:rsidRDefault="00184B7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3/11/2021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7777777" w:rsidR="00AD2FB4" w:rsidRDefault="001C575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permStart w:id="10468261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68261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64FD02D8" w:rsidR="00AD2FB4" w:rsidRDefault="001C575E" w:rsidP="007654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76540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59009525" w:rsidR="00AD2FB4" w:rsidRDefault="00184B7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3/25/2021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31F1C0E" w:rsidR="00AD2FB4" w:rsidRDefault="001C575E" w:rsidP="00184B7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r w:rsidR="00184B7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1C575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1C575E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1C575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D75907E" w:rsidR="00A316CE" w:rsidRDefault="001C575E" w:rsidP="00184B7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184B7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382DE5FC" w:rsidR="00A316CE" w:rsidRDefault="00184B7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3/25/2021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4BD0DEA8" w:rsidR="00A316CE" w:rsidRDefault="001C575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B224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132C3BF" w:rsidR="00A316CE" w:rsidRDefault="00B2242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1C575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5E4E6A80" w:rsidR="006E6FEC" w:rsidRDefault="0076540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Audrey Bowser; </w:t>
          </w:r>
          <w:hyperlink r:id="rId7" w:history="1">
            <w:r w:rsidRPr="00624A5A">
              <w:rPr>
                <w:rStyle w:val="Hyperlink"/>
                <w:rFonts w:asciiTheme="majorHAnsi" w:hAnsiTheme="majorHAnsi" w:cs="Arial"/>
                <w:sz w:val="20"/>
                <w:szCs w:val="20"/>
              </w:rPr>
              <w:t>abowser@astate.edu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(870) 972-2099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4A17BBF5" w:rsidR="002E3FC9" w:rsidRDefault="00A93DE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1-08-24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4A25FECA" w:rsidR="002E3FC9" w:rsidRDefault="0076540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8/24/2021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26FA296C" w:rsidR="002E3FC9" w:rsidRDefault="0076540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64115">
            <w:t>The Arkansas State University E</w:t>
          </w:r>
          <w:r>
            <w:t>ducator Preparation Program (E</w:t>
          </w:r>
          <w:r w:rsidRPr="00C64115">
            <w:t>PP</w:t>
          </w:r>
          <w:r>
            <w:t>) has voted to remove</w:t>
          </w:r>
          <w:r w:rsidRPr="00C64115">
            <w:t xml:space="preserve"> the basic skills requirement for admission to teacher education</w:t>
          </w:r>
          <w:r>
            <w:t xml:space="preserve">. </w:t>
          </w:r>
          <w:r w:rsidRPr="00C64115">
            <w:t xml:space="preserve">Minimum passing scores on the Praxis Core Academic Skills for Educators exams or National ACT will no longer be required. </w:t>
          </w:r>
          <w:r>
            <w:t xml:space="preserve">The basic skills proficiency requirement has been </w:t>
          </w:r>
          <w:r w:rsidRPr="00C64115">
            <w:t>deleted from our admission and retention policies and procedures</w:t>
          </w:r>
          <w:r w:rsidR="005964CE">
            <w:t>. E</w:t>
          </w:r>
          <w:r w:rsidRPr="00C64115">
            <w:t xml:space="preserve">ffective </w:t>
          </w:r>
          <w:r w:rsidR="005964CE">
            <w:t>March 2, 2021, the Division of Elementary and Secondary Education (</w:t>
          </w:r>
          <w:r w:rsidR="005964CE" w:rsidRPr="005964CE">
            <w:t>DESE</w:t>
          </w:r>
          <w:r w:rsidR="005964CE">
            <w:t xml:space="preserve">) approved this </w:t>
          </w:r>
          <w:r w:rsidR="005964CE" w:rsidRPr="005964CE">
            <w:t xml:space="preserve">decision in regards to Arkansas State University’s </w:t>
          </w:r>
          <w:r w:rsidR="005964CE">
            <w:t xml:space="preserve">teacher education </w:t>
          </w:r>
          <w:r w:rsidR="005964CE" w:rsidRPr="005964CE">
            <w:t>admission requirements change for initial licensure programs</w:t>
          </w:r>
          <w:r w:rsidRPr="00C64115">
            <w:t>. This change is due to recent revisions to CAEP accreditation requirements for monitoring and supporting candidate progression.</w:t>
          </w:r>
          <w:r w:rsidR="005964CE">
            <w:t xml:space="preserve"> It may be implemented immediately.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32518D9D" w:rsidR="00AE6604" w:rsidRPr="008426D1" w:rsidRDefault="00184B79" w:rsidP="00AE6604">
      <w:pPr>
        <w:rPr>
          <w:rFonts w:asciiTheme="majorHAnsi" w:hAnsiTheme="majorHAnsi" w:cs="Arial"/>
          <w:sz w:val="18"/>
          <w:szCs w:val="18"/>
        </w:rPr>
      </w:pPr>
      <w:r w:rsidRPr="00184B79">
        <w:rPr>
          <w:rFonts w:asciiTheme="majorHAnsi" w:hAnsiTheme="majorHAnsi" w:cs="Arial"/>
          <w:sz w:val="18"/>
          <w:szCs w:val="18"/>
          <w:highlight w:val="yellow"/>
        </w:rPr>
        <w:t>BEFORE</w:t>
      </w:r>
    </w:p>
    <w:sdt>
      <w:sdtPr>
        <w:rPr>
          <w:rFonts w:asciiTheme="majorHAnsi" w:hAnsiTheme="majorHAnsi" w:cs="Arial"/>
          <w:sz w:val="20"/>
          <w:szCs w:val="20"/>
          <w:highlight w:val="yellow"/>
        </w:rPr>
        <w:id w:val="-97950460"/>
        <w:placeholder>
          <w:docPart w:val="3471CE66447B05449A12F313D975A349"/>
        </w:placeholder>
      </w:sdtPr>
      <w:sdtEndPr/>
      <w:sdtContent>
        <w:p w14:paraId="1C55FBE0" w14:textId="77777777" w:rsidR="00765403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CHECKPOINT 1: ADMISSION INTO THE TEACHER EDUCATION PROGRAM </w:t>
          </w:r>
        </w:p>
        <w:p w14:paraId="5AE2152B" w14:textId="77777777" w:rsidR="00765403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>Students making formal application into the teacher education program must meet the following admission requirements.</w:t>
          </w:r>
        </w:p>
        <w:p w14:paraId="793CFAEC" w14:textId="1CE3AA38" w:rsidR="00765403" w:rsidRPr="00184B79" w:rsidRDefault="00765403" w:rsidP="00765403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highlight w:val="yellow"/>
            </w:rPr>
          </w:pPr>
          <w:r w:rsidRPr="00184B79">
            <w:rPr>
              <w:highlight w:val="yellow"/>
            </w:rPr>
            <w:t>ADMISSION REQUIREMENTS</w:t>
          </w:r>
        </w:p>
        <w:p w14:paraId="0DFDE675" w14:textId="40F23030" w:rsidR="00765403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1. Attain minimum passing scores on the Praxis Core Academic Skills for Educators Exams or National ACT. </w:t>
          </w:r>
        </w:p>
        <w:tbl>
          <w:tblPr>
            <w:tblStyle w:val="TableGrid"/>
            <w:tblW w:w="0" w:type="auto"/>
            <w:tblInd w:w="2155" w:type="dxa"/>
            <w:tblLook w:val="04A0" w:firstRow="1" w:lastRow="0" w:firstColumn="1" w:lastColumn="0" w:noHBand="0" w:noVBand="1"/>
          </w:tblPr>
          <w:tblGrid>
            <w:gridCol w:w="2158"/>
            <w:gridCol w:w="2158"/>
            <w:gridCol w:w="2158"/>
          </w:tblGrid>
          <w:tr w:rsidR="00985EA7" w:rsidRPr="00184B79" w14:paraId="436A0F48" w14:textId="77777777" w:rsidTr="00985EA7">
            <w:tc>
              <w:tcPr>
                <w:tcW w:w="2158" w:type="dxa"/>
                <w:shd w:val="clear" w:color="auto" w:fill="BFBFBF" w:themeFill="background1" w:themeFillShade="BF"/>
              </w:tcPr>
              <w:p w14:paraId="786ACCB8" w14:textId="43736112" w:rsidR="00985EA7" w:rsidRPr="00184B79" w:rsidRDefault="00985EA7" w:rsidP="00AE6604">
                <w:pPr>
                  <w:tabs>
                    <w:tab w:val="left" w:pos="360"/>
                    <w:tab w:val="left" w:pos="720"/>
                  </w:tabs>
                  <w:rPr>
                    <w:highlight w:val="yellow"/>
                  </w:rPr>
                </w:pPr>
              </w:p>
            </w:tc>
            <w:tc>
              <w:tcPr>
                <w:tcW w:w="2158" w:type="dxa"/>
                <w:shd w:val="clear" w:color="auto" w:fill="BFBFBF" w:themeFill="background1" w:themeFillShade="BF"/>
              </w:tcPr>
              <w:p w14:paraId="6496FDA8" w14:textId="77777777" w:rsidR="00985EA7" w:rsidRPr="00184B79" w:rsidRDefault="00985EA7" w:rsidP="00985EA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PRAXIS CORE beginning</w:t>
                </w:r>
              </w:p>
              <w:p w14:paraId="343CB0C5" w14:textId="5B535F92" w:rsidR="00985EA7" w:rsidRPr="00184B79" w:rsidRDefault="00985EA7" w:rsidP="00985EA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08/2020</w:t>
                </w:r>
              </w:p>
            </w:tc>
            <w:tc>
              <w:tcPr>
                <w:tcW w:w="2158" w:type="dxa"/>
                <w:shd w:val="clear" w:color="auto" w:fill="BFBFBF" w:themeFill="background1" w:themeFillShade="BF"/>
              </w:tcPr>
              <w:p w14:paraId="17564E36" w14:textId="64CAF4BE" w:rsidR="00985EA7" w:rsidRPr="00184B79" w:rsidRDefault="00985EA7" w:rsidP="00985EA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ACT beginning 08/2020</w:t>
                </w:r>
              </w:p>
            </w:tc>
          </w:tr>
          <w:tr w:rsidR="00985EA7" w:rsidRPr="00184B79" w14:paraId="1BAC1811" w14:textId="77777777" w:rsidTr="00985EA7">
            <w:tc>
              <w:tcPr>
                <w:tcW w:w="2158" w:type="dxa"/>
              </w:tcPr>
              <w:p w14:paraId="5EB084B3" w14:textId="08C2BF5D" w:rsidR="00985EA7" w:rsidRPr="00184B79" w:rsidRDefault="00985EA7" w:rsidP="00AE6604">
                <w:pPr>
                  <w:tabs>
                    <w:tab w:val="left" w:pos="360"/>
                    <w:tab w:val="left" w:pos="720"/>
                  </w:tabs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Reading</w:t>
                </w:r>
              </w:p>
            </w:tc>
            <w:tc>
              <w:tcPr>
                <w:tcW w:w="2158" w:type="dxa"/>
              </w:tcPr>
              <w:p w14:paraId="34DFA9C9" w14:textId="1EE20D35" w:rsidR="00985EA7" w:rsidRPr="00184B79" w:rsidRDefault="00985EA7" w:rsidP="00985EA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162</w:t>
                </w:r>
              </w:p>
            </w:tc>
            <w:tc>
              <w:tcPr>
                <w:tcW w:w="2158" w:type="dxa"/>
              </w:tcPr>
              <w:p w14:paraId="038146EF" w14:textId="4B62CAE9" w:rsidR="00985EA7" w:rsidRPr="00184B79" w:rsidRDefault="00985EA7" w:rsidP="00985EA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19</w:t>
                </w:r>
              </w:p>
            </w:tc>
          </w:tr>
          <w:tr w:rsidR="00985EA7" w:rsidRPr="00184B79" w14:paraId="7009BDA5" w14:textId="77777777" w:rsidTr="00985EA7">
            <w:tc>
              <w:tcPr>
                <w:tcW w:w="2158" w:type="dxa"/>
              </w:tcPr>
              <w:p w14:paraId="66F40464" w14:textId="17AE3DFC" w:rsidR="00985EA7" w:rsidRPr="00184B79" w:rsidRDefault="00985EA7" w:rsidP="00AE6604">
                <w:pPr>
                  <w:tabs>
                    <w:tab w:val="left" w:pos="360"/>
                    <w:tab w:val="left" w:pos="720"/>
                  </w:tabs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Math</w:t>
                </w:r>
              </w:p>
            </w:tc>
            <w:tc>
              <w:tcPr>
                <w:tcW w:w="2158" w:type="dxa"/>
              </w:tcPr>
              <w:p w14:paraId="3A59704E" w14:textId="0E4523F9" w:rsidR="00985EA7" w:rsidRPr="00184B79" w:rsidRDefault="00985EA7" w:rsidP="00985EA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162</w:t>
                </w:r>
              </w:p>
            </w:tc>
            <w:tc>
              <w:tcPr>
                <w:tcW w:w="2158" w:type="dxa"/>
              </w:tcPr>
              <w:p w14:paraId="14364378" w14:textId="2514CCA9" w:rsidR="00985EA7" w:rsidRPr="00184B79" w:rsidRDefault="00985EA7" w:rsidP="00985EA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19</w:t>
                </w:r>
              </w:p>
            </w:tc>
          </w:tr>
          <w:tr w:rsidR="00985EA7" w:rsidRPr="00184B79" w14:paraId="5BA4105A" w14:textId="77777777" w:rsidTr="00985EA7">
            <w:tc>
              <w:tcPr>
                <w:tcW w:w="2158" w:type="dxa"/>
              </w:tcPr>
              <w:p w14:paraId="3C0A45BB" w14:textId="3B00D337" w:rsidR="00985EA7" w:rsidRPr="00184B79" w:rsidRDefault="00985EA7" w:rsidP="00AE6604">
                <w:pPr>
                  <w:tabs>
                    <w:tab w:val="left" w:pos="360"/>
                    <w:tab w:val="left" w:pos="720"/>
                  </w:tabs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Writing</w:t>
                </w:r>
              </w:p>
            </w:tc>
            <w:tc>
              <w:tcPr>
                <w:tcW w:w="2158" w:type="dxa"/>
              </w:tcPr>
              <w:p w14:paraId="7121F125" w14:textId="18730061" w:rsidR="00985EA7" w:rsidRPr="00184B79" w:rsidRDefault="00985EA7" w:rsidP="00985EA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162</w:t>
                </w:r>
              </w:p>
            </w:tc>
            <w:tc>
              <w:tcPr>
                <w:tcW w:w="2158" w:type="dxa"/>
              </w:tcPr>
              <w:p w14:paraId="3E2D0CF5" w14:textId="3231ABA4" w:rsidR="00985EA7" w:rsidRPr="00184B79" w:rsidRDefault="00985EA7" w:rsidP="00985EA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highlight w:val="yellow"/>
                  </w:rPr>
                </w:pPr>
                <w:r w:rsidRPr="00184B79">
                  <w:rPr>
                    <w:highlight w:val="yellow"/>
                  </w:rPr>
                  <w:t>7</w:t>
                </w:r>
              </w:p>
            </w:tc>
          </w:tr>
        </w:tbl>
        <w:p w14:paraId="262F7655" w14:textId="77777777" w:rsidR="00985EA7" w:rsidRPr="00184B79" w:rsidRDefault="00985EA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</w:p>
        <w:p w14:paraId="061170C5" w14:textId="77777777" w:rsidR="00985EA7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2. Attain minimum overall GPA of 2.70 beginning August 24, 2015 (Program of Study students must have a minimum of 3.0 overall in courses for Program of Study.) </w:t>
          </w:r>
        </w:p>
        <w:p w14:paraId="5DFDA5C7" w14:textId="77777777" w:rsidR="00985EA7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3. Complete the following courses with a grade of “C” or better in each: ENG 1003, Composition I; ENG 1013, Composition II; MATH 1023, College Algebra, (or MATH 1043, Quantitative Reasoning as allowed by degree program); Introduction to Education (specific to each department); and COMS 1203, Oral Communication or Speech Proficiency (as specified by the department) </w:t>
          </w:r>
        </w:p>
        <w:p w14:paraId="3FA6F8BE" w14:textId="77777777" w:rsidR="00985EA7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4. Complete minimum of 30 semester hours </w:t>
          </w:r>
        </w:p>
        <w:p w14:paraId="1BFD47A8" w14:textId="77777777" w:rsidR="00985EA7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5. Complete the Professional Dispositions Self-Assessment as prescribed in the Teacher Education Handbook </w:t>
          </w:r>
        </w:p>
        <w:p w14:paraId="336CEC7A" w14:textId="77777777" w:rsidR="00985EA7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6. Submit a completed application form </w:t>
          </w:r>
        </w:p>
        <w:p w14:paraId="1228048A" w14:textId="77777777" w:rsidR="00985EA7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7. Obtain a signed Clarification of Teacher Education Admissions/Retention Standards </w:t>
          </w:r>
        </w:p>
        <w:p w14:paraId="0A968E73" w14:textId="77777777" w:rsidR="00985EA7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8. Appear individually for a personal interview before the Department Screening Committee </w:t>
          </w:r>
        </w:p>
        <w:p w14:paraId="3A6905C4" w14:textId="77777777" w:rsidR="00985EA7" w:rsidRPr="00184B79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highlight w:val="yellow"/>
            </w:rPr>
          </w:pPr>
          <w:r w:rsidRPr="00184B79">
            <w:rPr>
              <w:highlight w:val="yellow"/>
            </w:rPr>
            <w:t xml:space="preserve">9. Provide documentation of approved Federal Background and Maltreatment Registry checks via Division of Elementary and Secondary Education, Arkansas Department of Education </w:t>
          </w:r>
        </w:p>
        <w:p w14:paraId="58FFABB8" w14:textId="5E92A24B" w:rsidR="00AE6604" w:rsidRPr="008426D1" w:rsidRDefault="0076540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84B79">
            <w:rPr>
              <w:highlight w:val="yellow"/>
            </w:rPr>
            <w:t>10. Verify that student has received a copy of the Mission &amp; Values, Teacher Education Outcomes and Arkansas Teaching Standards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061AF475" w:rsidR="00AE6604" w:rsidRDefault="00AE6604" w:rsidP="00985EA7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20F54E4A" w:rsidR="0069556E" w:rsidRDefault="00184B79" w:rsidP="00184B79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>Changes</w:t>
      </w: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1086343602"/>
        <w:placeholder>
          <w:docPart w:val="96CB627D7F1A4B6EB48FD20DD9297007"/>
        </w:placeholder>
      </w:sdtPr>
      <w:sdtEndPr/>
      <w:sdtContent>
        <w:p w14:paraId="4787E3E6" w14:textId="77777777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CHECKPOINT 1: ADMISSION INTO THE TEACHER EDUCATION PROGRAM </w:t>
          </w:r>
        </w:p>
        <w:p w14:paraId="433ECBC4" w14:textId="17DA47F1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Candidates making formal application into the teacher education program must meet the following admission requirements.</w:t>
          </w:r>
        </w:p>
        <w:p w14:paraId="5B1BF68B" w14:textId="77777777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  <w:jc w:val="center"/>
          </w:pPr>
          <w:r>
            <w:t>ADMISSION REQUIREMENTS</w:t>
          </w:r>
        </w:p>
        <w:p w14:paraId="5ACE1241" w14:textId="1A54BCCF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1. Submit the Online Application for Admission </w:t>
          </w:r>
        </w:p>
        <w:p w14:paraId="44155B8E" w14:textId="4E2D2142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2. Attain minimum overall GPA of 2.70 beginning August 24, 2015 (Program of Study students must have a minimum of 3.0 overall in courses for Program of Study.) </w:t>
          </w:r>
        </w:p>
        <w:p w14:paraId="0266312E" w14:textId="28D13875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3. Complete the following courses with a grade of “C” or better in each: ENG 1003, Composition I; ENG 1013, Composition II; MATH 1023, College Algebra (or MATH 1043, Quantitative Reasoning as allowed by degree program); Introduction to Education (specific to each department); and COMS 1203, Oral Communication or Speech Proficiency (as specified by the department) </w:t>
          </w:r>
        </w:p>
        <w:p w14:paraId="257955FA" w14:textId="28A3BE39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4. Complete a minimum of 30 semester hours </w:t>
          </w:r>
        </w:p>
        <w:p w14:paraId="3AE42E5E" w14:textId="12156710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5. Complete the Professional Dispositions </w:t>
          </w:r>
          <w:r w:rsidR="00184B79">
            <w:t>Assessments (s</w:t>
          </w:r>
          <w:r>
            <w:t>elf-</w:t>
          </w:r>
          <w:r w:rsidR="00184B79">
            <w:t>a</w:t>
          </w:r>
          <w:r>
            <w:t>ssessment</w:t>
          </w:r>
          <w:r w:rsidR="00184B79">
            <w:t xml:space="preserve"> by candidate and evaluation by screening committee)</w:t>
          </w:r>
          <w:r>
            <w:t xml:space="preserve"> as prescribed in the Teacher Education Handbook </w:t>
          </w:r>
        </w:p>
        <w:p w14:paraId="5ED38EC2" w14:textId="19EBECBB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6. </w:t>
          </w:r>
          <w:r w:rsidR="00184B79">
            <w:t>Complete the Professional Ethics Assessment as prescribed by the Teacher Education Handbook</w:t>
          </w:r>
        </w:p>
        <w:p w14:paraId="751894AC" w14:textId="77777777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7. Obtain a signed Clarification of Teacher Education Admissions/Retention Standards </w:t>
          </w:r>
        </w:p>
        <w:p w14:paraId="371B02C2" w14:textId="1F1EF6DC" w:rsidR="005964CE" w:rsidRDefault="005964CE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8. </w:t>
          </w:r>
          <w:r w:rsidR="00184B79">
            <w:t xml:space="preserve">Document an Approved Arkansas State Police (ASP) and </w:t>
          </w:r>
          <w:r>
            <w:t>Federal Background</w:t>
          </w:r>
          <w:r w:rsidR="00184B79">
            <w:t xml:space="preserve"> Check </w:t>
          </w:r>
          <w:r>
            <w:t xml:space="preserve">and </w:t>
          </w:r>
          <w:r w:rsidR="00184B79">
            <w:t xml:space="preserve">the Arkansas Child </w:t>
          </w:r>
          <w:r>
            <w:t>Maltreatment</w:t>
          </w:r>
          <w:r w:rsidR="00184B79">
            <w:t xml:space="preserve"> Background Check through the </w:t>
          </w:r>
          <w:r>
            <w:t xml:space="preserve">Arkansas Department of Education </w:t>
          </w:r>
        </w:p>
        <w:p w14:paraId="0D116984" w14:textId="2F5373C8" w:rsidR="00184B79" w:rsidRDefault="00184B79" w:rsidP="005964CE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9</w:t>
          </w:r>
          <w:r w:rsidR="005964CE">
            <w:t>. Verify that student has received a copy of the Mission &amp; Values, Teacher Education Outcomes and Arkansas Teaching Standards</w:t>
          </w:r>
        </w:p>
        <w:p w14:paraId="6ED0DB4E" w14:textId="77777777" w:rsidR="00184B79" w:rsidRDefault="00184B79" w:rsidP="00184B79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10. Appear individually for a personal interview before the Department Screening Committee </w:t>
          </w:r>
        </w:p>
        <w:p w14:paraId="2245B0BC" w14:textId="44391890" w:rsidR="005964CE" w:rsidRDefault="001C575E" w:rsidP="005964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93572" w14:textId="77777777" w:rsidR="001C575E" w:rsidRDefault="001C575E" w:rsidP="00AF3758">
      <w:pPr>
        <w:spacing w:after="0" w:line="240" w:lineRule="auto"/>
      </w:pPr>
      <w:r>
        <w:separator/>
      </w:r>
    </w:p>
  </w:endnote>
  <w:endnote w:type="continuationSeparator" w:id="0">
    <w:p w14:paraId="4309A1F2" w14:textId="77777777" w:rsidR="001C575E" w:rsidRDefault="001C575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61350432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7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58FE6" w14:textId="77777777" w:rsidR="001C575E" w:rsidRDefault="001C575E" w:rsidP="00AF3758">
      <w:pPr>
        <w:spacing w:after="0" w:line="240" w:lineRule="auto"/>
      </w:pPr>
      <w:r>
        <w:separator/>
      </w:r>
    </w:p>
  </w:footnote>
  <w:footnote w:type="continuationSeparator" w:id="0">
    <w:p w14:paraId="546CD3D1" w14:textId="77777777" w:rsidR="001C575E" w:rsidRDefault="001C575E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4B79"/>
    <w:rsid w:val="00185D67"/>
    <w:rsid w:val="001A5DD5"/>
    <w:rsid w:val="001C575E"/>
    <w:rsid w:val="001E36BB"/>
    <w:rsid w:val="001F5E9E"/>
    <w:rsid w:val="001F7398"/>
    <w:rsid w:val="00207C68"/>
    <w:rsid w:val="00212A76"/>
    <w:rsid w:val="0022350B"/>
    <w:rsid w:val="002315B0"/>
    <w:rsid w:val="00254447"/>
    <w:rsid w:val="00261ACE"/>
    <w:rsid w:val="00262156"/>
    <w:rsid w:val="00265C17"/>
    <w:rsid w:val="002678AD"/>
    <w:rsid w:val="002776C2"/>
    <w:rsid w:val="00281B97"/>
    <w:rsid w:val="002B695D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964CE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65403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85EA7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93DE6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2426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A6936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owser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05085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05085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05085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05085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05085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05085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05085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05085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05085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05085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6CB627D7F1A4B6EB48FD20DD929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1BBF-4535-4A26-B476-46FB91DDB01A}"/>
      </w:docPartPr>
      <w:docPartBody>
        <w:p w:rsidR="001C669E" w:rsidRDefault="0005085F" w:rsidP="0005085F">
          <w:pPr>
            <w:pStyle w:val="96CB627D7F1A4B6EB48FD20DD929700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5085F"/>
    <w:rsid w:val="000723D9"/>
    <w:rsid w:val="000D3E26"/>
    <w:rsid w:val="00156A9E"/>
    <w:rsid w:val="001B45B5"/>
    <w:rsid w:val="001C669E"/>
    <w:rsid w:val="001F5084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52279"/>
    <w:rsid w:val="009C0E11"/>
    <w:rsid w:val="00A21721"/>
    <w:rsid w:val="00A733B0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5085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96CB627D7F1A4B6EB48FD20DD9297007">
    <w:name w:val="96CB627D7F1A4B6EB48FD20DD9297007"/>
    <w:rsid w:val="000508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5</cp:revision>
  <cp:lastPrinted>2021-04-08T13:44:00Z</cp:lastPrinted>
  <dcterms:created xsi:type="dcterms:W3CDTF">2021-03-25T15:35:00Z</dcterms:created>
  <dcterms:modified xsi:type="dcterms:W3CDTF">2021-04-12T15:08:00Z</dcterms:modified>
</cp:coreProperties>
</file>