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AC1B4AA" w:rsidR="00424133" w:rsidRPr="00285F5A" w:rsidRDefault="00424133" w:rsidP="00424133">
      <w:pPr>
        <w:rPr>
          <w:rFonts w:asciiTheme="majorHAnsi" w:hAnsiTheme="majorHAnsi" w:cs="Arial"/>
          <w:b/>
          <w:szCs w:val="20"/>
        </w:rPr>
      </w:pPr>
      <w:r>
        <w:rPr>
          <w:rFonts w:ascii="MS Gothic" w:eastAsia="MS Gothic" w:hAnsi="MS Gothic" w:cs="Arial"/>
          <w:b/>
          <w:szCs w:val="20"/>
        </w:rPr>
        <w:t>[</w:t>
      </w:r>
      <w:proofErr w:type="gramStart"/>
      <w:r w:rsidR="00FD4A6D">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763426D" w:rsidR="00424133" w:rsidRPr="00424133" w:rsidRDefault="00FD4A6D" w:rsidP="00424133">
            <w:pPr>
              <w:spacing w:before="120" w:after="120" w:line="240" w:lineRule="auto"/>
              <w:ind w:left="360" w:hanging="360"/>
              <w:rPr>
                <w:rFonts w:asciiTheme="majorHAnsi" w:hAnsiTheme="majorHAnsi" w:cs="Arial"/>
                <w:b/>
                <w:sz w:val="20"/>
                <w:szCs w:val="20"/>
              </w:rPr>
            </w:pPr>
            <w:r w:rsidRPr="00FD4A6D">
              <w:rPr>
                <w:rFonts w:ascii="MS Gothic" w:eastAsia="MS Gothic" w:hAnsi="MS Gothic" w:cs="Arial"/>
                <w:b/>
                <w:szCs w:val="20"/>
                <w:highlight w:val="yellow"/>
              </w:rPr>
              <w:t>[X</w:t>
            </w:r>
            <w:r w:rsidR="005B6EB6" w:rsidRPr="00FD4A6D">
              <w:rPr>
                <w:rFonts w:ascii="MS Gothic" w:eastAsia="MS Gothic" w:hAnsi="MS Gothic" w:cs="Arial"/>
                <w:b/>
                <w:szCs w:val="20"/>
                <w:highlight w:val="yellow"/>
              </w:rPr>
              <w:t>]</w:t>
            </w:r>
            <w:r w:rsidR="005B6EB6" w:rsidRPr="00FD4A6D">
              <w:rPr>
                <w:rFonts w:asciiTheme="majorHAnsi" w:hAnsiTheme="majorHAnsi" w:cs="Arial"/>
                <w:b/>
                <w:sz w:val="20"/>
                <w:szCs w:val="20"/>
                <w:highlight w:val="yellow"/>
              </w:rPr>
              <w:t>New Course</w:t>
            </w:r>
            <w:r w:rsidR="005B6EB6">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5B6EB6">
              <w:rPr>
                <w:rFonts w:asciiTheme="majorHAnsi" w:hAnsiTheme="majorHAnsi" w:cs="Arial"/>
                <w:b/>
                <w:sz w:val="20"/>
                <w:szCs w:val="20"/>
              </w:rPr>
              <w:t xml:space="preserve">,  </w:t>
            </w:r>
            <w:r w:rsidR="005B6EB6" w:rsidRPr="00AA7312">
              <w:rPr>
                <w:rFonts w:asciiTheme="majorHAnsi" w:hAnsiTheme="majorHAnsi" w:cs="Arial"/>
                <w:b/>
                <w:sz w:val="20"/>
                <w:szCs w:val="20"/>
              </w:rPr>
              <w:t xml:space="preserve">or  </w:t>
            </w:r>
            <w:r w:rsidR="005B6EB6" w:rsidRPr="00FD4A6D">
              <w:rPr>
                <w:rFonts w:ascii="MS Gothic" w:eastAsia="MS Gothic" w:hAnsi="MS Gothic" w:cs="Arial"/>
                <w:b/>
                <w:szCs w:val="20"/>
              </w:rPr>
              <w:t>[ ]</w:t>
            </w:r>
            <w:r w:rsidR="005B6EB6" w:rsidRPr="00FD4A6D">
              <w:rPr>
                <w:rFonts w:asciiTheme="majorHAnsi" w:hAnsiTheme="majorHAnsi" w:cs="Arial"/>
                <w:b/>
                <w:sz w:val="20"/>
                <w:szCs w:val="20"/>
              </w:rPr>
              <w:t>Modified Course</w:t>
            </w:r>
            <w:r w:rsidR="005B6EB6">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8FA70E1" w:rsidR="00001C04" w:rsidRPr="008426D1" w:rsidRDefault="00AB0811"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52A8F">
                  <w:rPr>
                    <w:rFonts w:asciiTheme="majorHAnsi" w:hAnsiTheme="majorHAnsi"/>
                    <w:sz w:val="20"/>
                    <w:szCs w:val="20"/>
                  </w:rPr>
                  <w:t xml:space="preserve">Jim Washam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20T00:00:00Z">
                  <w:dateFormat w:val="M/d/yyyy"/>
                  <w:lid w:val="en-US"/>
                  <w:storeMappedDataAs w:val="dateTime"/>
                  <w:calendar w:val="gregorian"/>
                </w:date>
              </w:sdtPr>
              <w:sdtEndPr/>
              <w:sdtContent>
                <w:r w:rsidR="00652A8F">
                  <w:rPr>
                    <w:rFonts w:asciiTheme="majorHAnsi" w:hAnsiTheme="majorHAnsi"/>
                    <w:smallCaps/>
                    <w:sz w:val="20"/>
                    <w:szCs w:val="20"/>
                  </w:rPr>
                  <w:t>10/20/2020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B081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1F133C6" w:rsidR="00001C04" w:rsidRPr="008426D1" w:rsidRDefault="00AB0811" w:rsidP="000B315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456365588"/>
                        <w:placeholder>
                          <w:docPart w:val="D7341D2A51C54A6CA6E704FEE39333B6"/>
                        </w:placeholder>
                      </w:sdtPr>
                      <w:sdtEndPr/>
                      <w:sdtContent>
                        <w:r w:rsidR="000B3151">
                          <w:rPr>
                            <w:rFonts w:asciiTheme="majorHAnsi" w:hAnsiTheme="majorHAnsi"/>
                            <w:sz w:val="20"/>
                            <w:szCs w:val="20"/>
                          </w:rPr>
                          <w:t xml:space="preserve">Patricia Quinn Johnston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26T00:00:00Z">
                  <w:dateFormat w:val="M/d/yyyy"/>
                  <w:lid w:val="en-US"/>
                  <w:storeMappedDataAs w:val="dateTime"/>
                  <w:calendar w:val="gregorian"/>
                </w:date>
              </w:sdtPr>
              <w:sdtEndPr/>
              <w:sdtContent>
                <w:r w:rsidR="000B3151">
                  <w:rPr>
                    <w:rFonts w:asciiTheme="majorHAnsi" w:hAnsiTheme="majorHAnsi"/>
                    <w:smallCaps/>
                    <w:sz w:val="20"/>
                    <w:szCs w:val="20"/>
                  </w:rPr>
                  <w:t>10/26/2020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AB081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F52B5BE" w:rsidR="004C4ADF" w:rsidRDefault="00AB0811"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CD491D">
                      <w:rPr>
                        <w:rFonts w:asciiTheme="majorHAnsi" w:hAnsiTheme="majorHAnsi"/>
                        <w:sz w:val="20"/>
                        <w:szCs w:val="20"/>
                      </w:rPr>
                      <w:t>Melodie Philhours</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28T00:00:00Z">
                  <w:dateFormat w:val="M/d/yyyy"/>
                  <w:lid w:val="en-US"/>
                  <w:storeMappedDataAs w:val="dateTime"/>
                  <w:calendar w:val="gregorian"/>
                </w:date>
              </w:sdtPr>
              <w:sdtEndPr/>
              <w:sdtContent>
                <w:r w:rsidR="00CD491D">
                  <w:rPr>
                    <w:rFonts w:asciiTheme="majorHAnsi" w:hAnsiTheme="majorHAnsi"/>
                    <w:smallCaps/>
                    <w:sz w:val="20"/>
                    <w:szCs w:val="20"/>
                  </w:rPr>
                  <w:t>10/28/2020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AB081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43FCFB68" w:rsidR="00D66C39" w:rsidRPr="008426D1" w:rsidRDefault="00AB0811"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E55FEA">
                      <w:rPr>
                        <w:rFonts w:asciiTheme="majorHAnsi" w:hAnsiTheme="majorHAnsi"/>
                        <w:sz w:val="20"/>
                        <w:szCs w:val="20"/>
                      </w:rPr>
                      <w:t>Mary Elizabeth Spence</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10-27T00:00:00Z">
                  <w:dateFormat w:val="M/d/yyyy"/>
                  <w:lid w:val="en-US"/>
                  <w:storeMappedDataAs w:val="dateTime"/>
                  <w:calendar w:val="gregorian"/>
                </w:date>
              </w:sdtPr>
              <w:sdtEndPr/>
              <w:sdtContent>
                <w:r w:rsidR="00E55FEA">
                  <w:rPr>
                    <w:rFonts w:asciiTheme="majorHAnsi" w:hAnsiTheme="majorHAnsi"/>
                    <w:smallCaps/>
                    <w:sz w:val="20"/>
                    <w:szCs w:val="20"/>
                  </w:rPr>
                  <w:t>10/27/2020</w:t>
                </w:r>
              </w:sdtContent>
            </w:sdt>
            <w:r w:rsidR="00D66C39" w:rsidRPr="008426D1">
              <w:rPr>
                <w:rFonts w:asciiTheme="majorHAnsi" w:hAnsiTheme="majorHAnsi"/>
                <w:sz w:val="20"/>
                <w:szCs w:val="20"/>
              </w:rPr>
              <w:br/>
            </w:r>
            <w:r w:rsidR="00E55FEA">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AB081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BF951FE" w:rsidR="00D66C39" w:rsidRPr="008426D1" w:rsidRDefault="00AB0811"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F57D3E">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28T00:00:00Z">
                  <w:dateFormat w:val="M/d/yyyy"/>
                  <w:lid w:val="en-US"/>
                  <w:storeMappedDataAs w:val="dateTime"/>
                  <w:calendar w:val="gregorian"/>
                </w:date>
              </w:sdtPr>
              <w:sdtEndPr/>
              <w:sdtContent>
                <w:r w:rsidR="00F57D3E">
                  <w:rPr>
                    <w:rFonts w:asciiTheme="majorHAnsi" w:hAnsiTheme="majorHAnsi"/>
                    <w:smallCaps/>
                    <w:sz w:val="20"/>
                    <w:szCs w:val="20"/>
                  </w:rPr>
                  <w:t>10/28/2020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AB081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AB0811"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4FCC7AC" w:rsidR="007D371A" w:rsidRPr="008426D1" w:rsidRDefault="00FD4A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David Kern, </w:t>
          </w:r>
          <w:hyperlink r:id="rId8" w:history="1">
            <w:r w:rsidRPr="00C740B3">
              <w:rPr>
                <w:rStyle w:val="Hyperlink"/>
                <w:rFonts w:asciiTheme="majorHAnsi" w:hAnsiTheme="majorHAnsi" w:cs="Arial"/>
                <w:sz w:val="20"/>
                <w:szCs w:val="20"/>
              </w:rPr>
              <w:t>dkern@astate.edu</w:t>
            </w:r>
          </w:hyperlink>
          <w:r>
            <w:rPr>
              <w:rFonts w:asciiTheme="majorHAnsi" w:hAnsiTheme="majorHAnsi" w:cs="Arial"/>
              <w:sz w:val="20"/>
              <w:szCs w:val="20"/>
            </w:rPr>
            <w:t xml:space="preserve"> 870-680-8466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0760FDC2" w:rsidR="003F2F3D" w:rsidRPr="00A865C3" w:rsidRDefault="00FD4A6D"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2620638"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xml:space="preserve">. For course modifications, sections with a </w:t>
      </w:r>
      <w:r w:rsidR="00FD4A6D">
        <w:rPr>
          <w:rFonts w:asciiTheme="majorHAnsi" w:hAnsiTheme="majorHAnsi" w:cs="Arial"/>
          <w:i/>
          <w:sz w:val="28"/>
          <w:szCs w:val="28"/>
          <w:u w:val="single"/>
        </w:rPr>
        <w:t>"</w:t>
      </w:r>
      <w:r w:rsidR="005978FA">
        <w:rPr>
          <w:rFonts w:asciiTheme="majorHAnsi" w:hAnsiTheme="majorHAnsi" w:cs="Arial"/>
          <w:i/>
          <w:sz w:val="28"/>
          <w:szCs w:val="28"/>
          <w:u w:val="single"/>
        </w:rPr>
        <w:t>Modification requested?</w:t>
      </w:r>
      <w:r w:rsidR="00FD4A6D">
        <w:rPr>
          <w:rFonts w:asciiTheme="majorHAnsi" w:hAnsiTheme="majorHAnsi" w:cs="Arial"/>
          <w:i/>
          <w:sz w:val="28"/>
          <w:szCs w:val="28"/>
          <w:u w:val="single"/>
        </w:rPr>
        <w:t>"</w:t>
      </w:r>
      <w:r w:rsidR="005978FA">
        <w:rPr>
          <w:rFonts w:asciiTheme="majorHAnsi" w:hAnsiTheme="majorHAnsi" w:cs="Arial"/>
          <w:i/>
          <w:sz w:val="28"/>
          <w:szCs w:val="28"/>
          <w:u w:val="single"/>
        </w:rPr>
        <w:t xml:space="preserve"> prompt need not be completed if the answer is </w:t>
      </w:r>
      <w:r w:rsidR="00FD4A6D">
        <w:rPr>
          <w:rFonts w:asciiTheme="majorHAnsi" w:hAnsiTheme="majorHAnsi" w:cs="Arial"/>
          <w:i/>
          <w:sz w:val="28"/>
          <w:szCs w:val="28"/>
          <w:u w:val="single"/>
        </w:rPr>
        <w:t>"</w:t>
      </w:r>
      <w:r w:rsidR="005978FA">
        <w:rPr>
          <w:rFonts w:asciiTheme="majorHAnsi" w:hAnsiTheme="majorHAnsi" w:cs="Arial"/>
          <w:i/>
          <w:sz w:val="28"/>
          <w:szCs w:val="28"/>
          <w:u w:val="single"/>
        </w:rPr>
        <w:t>No.</w:t>
      </w:r>
      <w:r w:rsidR="00FD4A6D">
        <w:rPr>
          <w:rFonts w:asciiTheme="majorHAnsi" w:hAnsiTheme="majorHAnsi" w:cs="Arial"/>
          <w:i/>
          <w:sz w:val="28"/>
          <w:szCs w:val="28"/>
          <w:u w:val="single"/>
        </w:rPr>
        <w:t>"</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FD4A6D">
              <w:rPr>
                <w:rFonts w:asciiTheme="majorHAnsi" w:hAnsiTheme="majorHAnsi" w:cs="Arial"/>
                <w:b/>
                <w:sz w:val="20"/>
                <w:szCs w:val="20"/>
              </w:rPr>
              <w:t>Course Modifications Only)</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FD4A6D">
              <w:rPr>
                <w:rFonts w:asciiTheme="majorHAnsi" w:hAnsiTheme="majorHAnsi" w:cs="Arial"/>
                <w:b/>
                <w:sz w:val="20"/>
                <w:szCs w:val="20"/>
              </w:rPr>
              <w:t>New</w:t>
            </w:r>
            <w:r w:rsidR="00787FB0">
              <w:rPr>
                <w:rFonts w:asciiTheme="majorHAnsi" w:hAnsiTheme="majorHAnsi" w:cs="Arial"/>
                <w:b/>
                <w:sz w:val="20"/>
                <w:szCs w:val="20"/>
              </w:rPr>
              <w:t xml:space="preserve"> or </w:t>
            </w:r>
            <w:r w:rsidR="00787FB0" w:rsidRPr="00FD4A6D">
              <w:rPr>
                <w:rFonts w:asciiTheme="majorHAnsi" w:hAnsiTheme="majorHAnsi" w:cs="Arial"/>
                <w:b/>
                <w:sz w:val="20"/>
                <w:szCs w:val="20"/>
              </w:rPr>
              <w:t>Modified)</w:t>
            </w:r>
            <w:r w:rsidR="007F159A">
              <w:rPr>
                <w:rFonts w:asciiTheme="majorHAnsi" w:hAnsiTheme="majorHAnsi" w:cs="Arial"/>
                <w:b/>
                <w:sz w:val="20"/>
                <w:szCs w:val="20"/>
              </w:rPr>
              <w:t xml:space="preserve"> </w:t>
            </w:r>
          </w:p>
          <w:p w14:paraId="5993190D" w14:textId="193328BF" w:rsidR="007F159A" w:rsidRPr="007F159A" w:rsidRDefault="007F159A" w:rsidP="00FD4A6D">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 xml:space="preserve">(Indicate </w:t>
            </w:r>
            <w:r w:rsidR="00FD4A6D">
              <w:rPr>
                <w:rFonts w:asciiTheme="majorHAnsi" w:hAnsiTheme="majorHAnsi" w:cs="Arial"/>
                <w:i/>
                <w:sz w:val="20"/>
                <w:szCs w:val="20"/>
              </w:rPr>
              <w:t>"</w:t>
            </w:r>
            <w:r w:rsidRPr="007F159A">
              <w:rPr>
                <w:rFonts w:asciiTheme="majorHAnsi" w:hAnsiTheme="majorHAnsi" w:cs="Arial"/>
                <w:i/>
                <w:sz w:val="20"/>
                <w:szCs w:val="20"/>
              </w:rPr>
              <w:t>N/A</w:t>
            </w:r>
            <w:r w:rsidR="00FD4A6D">
              <w:rPr>
                <w:rFonts w:asciiTheme="majorHAnsi" w:hAnsiTheme="majorHAnsi" w:cs="Arial"/>
                <w:i/>
                <w:sz w:val="20"/>
                <w:szCs w:val="20"/>
              </w:rPr>
              <w:t>"</w:t>
            </w:r>
            <w:r w:rsidRPr="007F159A">
              <w:rPr>
                <w:rFonts w:asciiTheme="majorHAnsi" w:hAnsiTheme="majorHAnsi" w:cs="Arial"/>
                <w:i/>
                <w:sz w:val="20"/>
                <w:szCs w:val="20"/>
              </w:rPr>
              <w:t xml:space="preserve">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D693BBB" w:rsidR="00A865C3" w:rsidRDefault="00FD4A6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FIN</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AE4EC97" w14:textId="77777777" w:rsidR="00FD4A6D" w:rsidRDefault="00FD4A6D" w:rsidP="00CB4B5A">
            <w:pPr>
              <w:tabs>
                <w:tab w:val="left" w:pos="360"/>
                <w:tab w:val="left" w:pos="720"/>
              </w:tabs>
              <w:rPr>
                <w:rFonts w:asciiTheme="majorHAnsi" w:hAnsiTheme="majorHAnsi" w:cs="Arial"/>
                <w:b/>
                <w:sz w:val="20"/>
                <w:szCs w:val="20"/>
              </w:rPr>
            </w:pPr>
          </w:p>
          <w:p w14:paraId="4C031803" w14:textId="2F59963A" w:rsidR="00A865C3" w:rsidRDefault="00FD4A6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4613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60BF78A3" w14:textId="77777777" w:rsidR="00A865C3" w:rsidRDefault="00A865C3" w:rsidP="00CB4B5A">
            <w:pPr>
              <w:tabs>
                <w:tab w:val="left" w:pos="360"/>
                <w:tab w:val="left" w:pos="720"/>
              </w:tabs>
              <w:rPr>
                <w:rFonts w:asciiTheme="majorHAnsi" w:hAnsiTheme="majorHAnsi" w:cs="Arial"/>
                <w:b/>
                <w:sz w:val="20"/>
                <w:szCs w:val="20"/>
              </w:rPr>
            </w:pPr>
          </w:p>
          <w:p w14:paraId="147E32A6" w14:textId="44B7F23E" w:rsidR="00FD4A6D" w:rsidRDefault="00FD4A6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Commercial Credit Analysis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A9B120C" w14:textId="77777777" w:rsidR="00FD4A6D" w:rsidRDefault="00FD4A6D" w:rsidP="00FD4A6D">
            <w:pPr>
              <w:rPr>
                <w:sz w:val="24"/>
                <w:szCs w:val="24"/>
              </w:rPr>
            </w:pPr>
            <w:r>
              <w:rPr>
                <w:sz w:val="24"/>
                <w:szCs w:val="24"/>
              </w:rPr>
              <w:t>An in-depth study of the lending process for a Commercial Bank. Topics covered include loan structuring, analysis of commercial and consumer loan applications, analysis of financial statements and tax returns needed to make a lending decision, and detecting problem loans.</w:t>
            </w:r>
          </w:p>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DC4C750"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with the Registrar</w:t>
      </w:r>
      <w:r w:rsidR="00FD4A6D">
        <w:rPr>
          <w:rFonts w:asciiTheme="majorHAnsi" w:hAnsiTheme="majorHAnsi" w:cs="Arial"/>
          <w:sz w:val="20"/>
          <w:szCs w:val="20"/>
        </w:rPr>
        <w:t>'</w:t>
      </w:r>
      <w:r w:rsidR="00370451" w:rsidRPr="00A865C3">
        <w:rPr>
          <w:rFonts w:asciiTheme="majorHAnsi" w:hAnsiTheme="majorHAnsi" w:cs="Arial"/>
          <w:sz w:val="20"/>
          <w:szCs w:val="20"/>
        </w:rPr>
        <w:t xml:space="preserve">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44F6153"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FD4A6D" w:rsidRPr="00C44C5E">
        <w:rPr>
          <w:rFonts w:asciiTheme="majorHAnsi" w:hAnsiTheme="majorHAnsi" w:cs="Arial"/>
          <w:b/>
          <w:sz w:val="20"/>
          <w:szCs w:val="20"/>
          <w:highlight w:val="yellow"/>
        </w:rPr>
        <w:t>Modification</w:t>
      </w:r>
      <w:r w:rsidR="00FD4A6D">
        <w:rPr>
          <w:rFonts w:asciiTheme="majorHAnsi" w:hAnsiTheme="majorHAnsi" w:cs="Arial"/>
          <w:b/>
          <w:sz w:val="20"/>
          <w:szCs w:val="20"/>
          <w:highlight w:val="yellow"/>
        </w:rPr>
        <w:t xml:space="preserve"> requested</w:t>
      </w:r>
      <w:r w:rsidR="00FD4A6D">
        <w:rPr>
          <w:rFonts w:asciiTheme="majorHAnsi" w:hAnsiTheme="majorHAnsi" w:cs="Arial"/>
          <w:b/>
          <w:sz w:val="20"/>
          <w:szCs w:val="20"/>
        </w:rPr>
        <w:t xml:space="preserve">  </w:t>
      </w:r>
      <w:r w:rsidR="00D06043" w:rsidRPr="00FD4A6D">
        <w:rPr>
          <w:rFonts w:asciiTheme="majorHAnsi" w:hAnsiTheme="majorHAnsi" w:cs="Arial"/>
          <w:b/>
          <w:sz w:val="20"/>
          <w:szCs w:val="20"/>
        </w:rPr>
        <w:t>[</w:t>
      </w:r>
      <w:r w:rsidR="00FD4A6D">
        <w:rPr>
          <w:rFonts w:asciiTheme="majorHAnsi" w:hAnsiTheme="majorHAnsi" w:cs="Arial"/>
          <w:b/>
          <w:sz w:val="20"/>
          <w:szCs w:val="20"/>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B9223D9" w:rsidR="00391206" w:rsidRPr="008426D1" w:rsidRDefault="00AB081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FD4A6D">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3EFE616" w:rsidR="00A966C5" w:rsidRPr="008426D1" w:rsidRDefault="00AB081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FD4A6D">
            <w:rPr>
              <w:rFonts w:asciiTheme="majorHAnsi" w:hAnsiTheme="majorHAnsi" w:cs="Arial"/>
              <w:sz w:val="20"/>
              <w:szCs w:val="20"/>
            </w:rPr>
            <w:t>FIN 3713 Business Finance</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D9B0C08" w:rsidR="00C002F9" w:rsidRPr="008426D1" w:rsidRDefault="00AB081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FD4A6D">
            <w:rPr>
              <w:rFonts w:asciiTheme="majorHAnsi" w:hAnsiTheme="majorHAnsi" w:cs="Arial"/>
              <w:sz w:val="20"/>
              <w:szCs w:val="20"/>
            </w:rPr>
            <w:t>FIN 3713 covers the foundation of finance and is required for all</w:t>
          </w:r>
          <w:r w:rsidR="00264AFE">
            <w:rPr>
              <w:rFonts w:asciiTheme="majorHAnsi" w:hAnsiTheme="majorHAnsi" w:cs="Arial"/>
              <w:sz w:val="20"/>
              <w:szCs w:val="20"/>
            </w:rPr>
            <w:t xml:space="preserve"> other upper level finance cour</w:t>
          </w:r>
          <w:r w:rsidR="00FD4A6D">
            <w:rPr>
              <w:rFonts w:asciiTheme="majorHAnsi" w:hAnsiTheme="majorHAnsi" w:cs="Arial"/>
              <w:sz w:val="20"/>
              <w:szCs w:val="20"/>
            </w:rPr>
            <w:t>ses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FF40987" w:rsidR="00391206" w:rsidRPr="008426D1" w:rsidRDefault="00AB081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FD4A6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1DFDA431"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FD4A6D">
        <w:rPr>
          <w:rFonts w:asciiTheme="majorHAnsi" w:hAnsiTheme="majorHAnsi" w:cs="Arial"/>
          <w:b/>
          <w:sz w:val="20"/>
          <w:szCs w:val="20"/>
        </w:rPr>
        <w:t xml:space="preserve">  [NO</w:t>
      </w:r>
      <w:r w:rsidR="00C44C5E">
        <w:rPr>
          <w:rFonts w:asciiTheme="majorHAnsi" w:hAnsiTheme="majorHAnsi" w:cs="Arial"/>
          <w:b/>
          <w:sz w:val="20"/>
          <w:szCs w:val="20"/>
        </w:rPr>
        <w:t>]</w:t>
      </w:r>
    </w:p>
    <w:p w14:paraId="1D65D894" w14:textId="47E49B8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Fall, Spring, Summer</w:t>
      </w:r>
      <w:r w:rsidR="00C44C5E" w:rsidRPr="00C44C5E">
        <w:rPr>
          <w:rFonts w:asciiTheme="majorHAnsi" w:hAnsiTheme="majorHAnsi" w:cs="Arial"/>
          <w:sz w:val="20"/>
          <w:szCs w:val="20"/>
        </w:rPr>
        <w:t xml:space="preserve">; if irregularly offered, please indicate, </w:t>
      </w:r>
      <w:r w:rsidR="00FD4A6D">
        <w:rPr>
          <w:rFonts w:asciiTheme="majorHAnsi" w:hAnsiTheme="majorHAnsi" w:cs="Arial"/>
          <w:sz w:val="20"/>
          <w:szCs w:val="20"/>
        </w:rPr>
        <w:t>"</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FD4A6D">
        <w:rPr>
          <w:rFonts w:asciiTheme="majorHAnsi" w:hAnsiTheme="majorHAnsi" w:cs="Arial"/>
          <w:sz w:val="20"/>
          <w:szCs w:val="20"/>
        </w:rPr>
        <w:t>"</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4CD66D26" w:rsidR="00C002F9" w:rsidRPr="008426D1" w:rsidRDefault="00FD4A6D"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7E199BF9"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FD4A6D">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1B3378E8" w:rsidR="00AF68E8" w:rsidRPr="008426D1" w:rsidRDefault="00FD4A6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0C3A2B6F"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FD4A6D">
        <w:rPr>
          <w:rFonts w:asciiTheme="majorHAnsi" w:hAnsiTheme="majorHAnsi" w:cs="Arial"/>
          <w:b/>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5587EC7D" w:rsidR="001E288B" w:rsidRDefault="00FD4A6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4D56D7D"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FD4A6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5B313EC" w:rsidR="004167AB" w:rsidRPr="0030740C" w:rsidRDefault="00FD4A6D"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t xml:space="preserve">NO </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004167AB"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EF3E9F8"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FD4A6D">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6E603B3"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FD4A6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4264CBB3"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FD4A6D">
        <w:rPr>
          <w:rFonts w:asciiTheme="majorHAnsi" w:hAnsiTheme="majorHAnsi" w:cs="Arial"/>
          <w:b/>
          <w:sz w:val="20"/>
          <w:szCs w:val="20"/>
        </w:rPr>
        <w:t xml:space="preserve"> {NO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59B69B43" w14:textId="77777777" w:rsidR="00FD4A6D" w:rsidRPr="00DE79F1" w:rsidRDefault="00FD4A6D" w:rsidP="00FD4A6D">
          <w:pPr>
            <w:jc w:val="center"/>
            <w:rPr>
              <w:b/>
              <w:sz w:val="24"/>
              <w:szCs w:val="24"/>
            </w:rPr>
          </w:pPr>
          <w:r w:rsidRPr="00DE79F1">
            <w:rPr>
              <w:b/>
              <w:sz w:val="32"/>
              <w:szCs w:val="32"/>
            </w:rPr>
            <w:t>Course Outline</w:t>
          </w:r>
        </w:p>
        <w:tbl>
          <w:tblPr>
            <w:tblStyle w:val="TableGrid"/>
            <w:tblW w:w="0" w:type="auto"/>
            <w:tblLook w:val="04A0" w:firstRow="1" w:lastRow="0" w:firstColumn="1" w:lastColumn="0" w:noHBand="0" w:noVBand="1"/>
          </w:tblPr>
          <w:tblGrid>
            <w:gridCol w:w="3596"/>
            <w:gridCol w:w="3597"/>
          </w:tblGrid>
          <w:tr w:rsidR="00B21841" w:rsidRPr="001628B6" w14:paraId="6212C8A8" w14:textId="77777777" w:rsidTr="00EF4E93">
            <w:tc>
              <w:tcPr>
                <w:tcW w:w="3596" w:type="dxa"/>
              </w:tcPr>
              <w:p w14:paraId="4D6F3221" w14:textId="77777777" w:rsidR="00B21841" w:rsidRPr="001628B6" w:rsidRDefault="00B21841" w:rsidP="00EF4E93">
                <w:pPr>
                  <w:jc w:val="center"/>
                  <w:rPr>
                    <w:b/>
                    <w:sz w:val="24"/>
                    <w:szCs w:val="24"/>
                  </w:rPr>
                </w:pPr>
                <w:r w:rsidRPr="001628B6">
                  <w:rPr>
                    <w:b/>
                    <w:sz w:val="24"/>
                    <w:szCs w:val="24"/>
                  </w:rPr>
                  <w:t>DATE</w:t>
                </w:r>
              </w:p>
            </w:tc>
            <w:tc>
              <w:tcPr>
                <w:tcW w:w="3597" w:type="dxa"/>
              </w:tcPr>
              <w:p w14:paraId="4864E786" w14:textId="77777777" w:rsidR="00B21841" w:rsidRPr="001628B6" w:rsidRDefault="00B21841" w:rsidP="00EF4E93">
                <w:pPr>
                  <w:jc w:val="center"/>
                  <w:rPr>
                    <w:b/>
                    <w:sz w:val="24"/>
                    <w:szCs w:val="24"/>
                  </w:rPr>
                </w:pPr>
                <w:r w:rsidRPr="001628B6">
                  <w:rPr>
                    <w:b/>
                    <w:sz w:val="24"/>
                    <w:szCs w:val="24"/>
                  </w:rPr>
                  <w:t>CHAPTER/TOPIC</w:t>
                </w:r>
              </w:p>
            </w:tc>
          </w:tr>
          <w:tr w:rsidR="00B21841" w:rsidRPr="001628B6" w14:paraId="7C12332E" w14:textId="77777777" w:rsidTr="00EF4E93">
            <w:tc>
              <w:tcPr>
                <w:tcW w:w="3596" w:type="dxa"/>
              </w:tcPr>
              <w:p w14:paraId="05A8D217" w14:textId="53989557" w:rsidR="00B21841" w:rsidRPr="001628B6" w:rsidRDefault="00B21841" w:rsidP="00EF4E93">
                <w:pPr>
                  <w:jc w:val="center"/>
                  <w:rPr>
                    <w:b/>
                    <w:sz w:val="24"/>
                    <w:szCs w:val="24"/>
                  </w:rPr>
                </w:pPr>
                <w:r>
                  <w:rPr>
                    <w:b/>
                    <w:sz w:val="24"/>
                    <w:szCs w:val="24"/>
                  </w:rPr>
                  <w:t>Week 1</w:t>
                </w:r>
              </w:p>
              <w:p w14:paraId="389075E7" w14:textId="77777777" w:rsidR="00B21841" w:rsidRPr="001628B6" w:rsidRDefault="00B21841" w:rsidP="00EF4E93">
                <w:pPr>
                  <w:jc w:val="center"/>
                  <w:rPr>
                    <w:b/>
                    <w:sz w:val="24"/>
                    <w:szCs w:val="24"/>
                    <w:u w:val="single"/>
                  </w:rPr>
                </w:pPr>
              </w:p>
            </w:tc>
            <w:tc>
              <w:tcPr>
                <w:tcW w:w="3597" w:type="dxa"/>
              </w:tcPr>
              <w:p w14:paraId="5EFF1D41" w14:textId="77777777" w:rsidR="00B21841" w:rsidRPr="001628B6" w:rsidRDefault="00B21841" w:rsidP="00EF4E93">
                <w:pPr>
                  <w:jc w:val="center"/>
                  <w:rPr>
                    <w:b/>
                    <w:sz w:val="24"/>
                    <w:szCs w:val="24"/>
                    <w:u w:val="single"/>
                  </w:rPr>
                </w:pPr>
                <w:r w:rsidRPr="001628B6">
                  <w:rPr>
                    <w:b/>
                    <w:sz w:val="24"/>
                    <w:szCs w:val="24"/>
                  </w:rPr>
                  <w:t>Chap. 1: Getting to Know the Customer; Case:  Metro Drug. Co.</w:t>
                </w:r>
              </w:p>
            </w:tc>
          </w:tr>
          <w:tr w:rsidR="00B21841" w:rsidRPr="001628B6" w14:paraId="027E1A31" w14:textId="77777777" w:rsidTr="00EF4E93">
            <w:tc>
              <w:tcPr>
                <w:tcW w:w="3596" w:type="dxa"/>
              </w:tcPr>
              <w:p w14:paraId="6142737B" w14:textId="2B625BDD" w:rsidR="00B21841" w:rsidRPr="001628B6" w:rsidRDefault="00B21841" w:rsidP="00EF4E93">
                <w:pPr>
                  <w:jc w:val="center"/>
                  <w:rPr>
                    <w:b/>
                    <w:sz w:val="24"/>
                    <w:szCs w:val="24"/>
                  </w:rPr>
                </w:pPr>
                <w:r>
                  <w:rPr>
                    <w:b/>
                    <w:sz w:val="24"/>
                    <w:szCs w:val="24"/>
                  </w:rPr>
                  <w:t>Week 2</w:t>
                </w:r>
              </w:p>
              <w:p w14:paraId="4D55149E" w14:textId="77777777" w:rsidR="00B21841" w:rsidRPr="001628B6" w:rsidRDefault="00B21841" w:rsidP="00EF4E93">
                <w:pPr>
                  <w:jc w:val="center"/>
                  <w:rPr>
                    <w:b/>
                    <w:sz w:val="24"/>
                    <w:szCs w:val="24"/>
                    <w:u w:val="single"/>
                  </w:rPr>
                </w:pPr>
              </w:p>
            </w:tc>
            <w:tc>
              <w:tcPr>
                <w:tcW w:w="3597" w:type="dxa"/>
              </w:tcPr>
              <w:p w14:paraId="57C1CBA6" w14:textId="190A2717" w:rsidR="00B21841" w:rsidRPr="001628B6" w:rsidRDefault="00B21841" w:rsidP="00EF4E93">
                <w:pPr>
                  <w:jc w:val="center"/>
                  <w:rPr>
                    <w:b/>
                    <w:sz w:val="24"/>
                    <w:szCs w:val="24"/>
                  </w:rPr>
                </w:pPr>
                <w:r w:rsidRPr="001628B6">
                  <w:rPr>
                    <w:b/>
                    <w:sz w:val="24"/>
                    <w:szCs w:val="24"/>
                  </w:rPr>
                  <w:t>Chap. 3: Understanding the No.</w:t>
                </w:r>
                <w:r>
                  <w:rPr>
                    <w:b/>
                    <w:sz w:val="24"/>
                    <w:szCs w:val="24"/>
                  </w:rPr>
                  <w:t>'</w:t>
                </w:r>
                <w:r w:rsidRPr="001628B6">
                  <w:rPr>
                    <w:b/>
                    <w:sz w:val="24"/>
                    <w:szCs w:val="24"/>
                  </w:rPr>
                  <w:t>s – Analyzing Historical Cash Flow</w:t>
                </w:r>
              </w:p>
              <w:p w14:paraId="40AE8701" w14:textId="77777777" w:rsidR="00B21841" w:rsidRPr="001628B6" w:rsidRDefault="00B21841" w:rsidP="00EF4E93">
                <w:pPr>
                  <w:jc w:val="center"/>
                  <w:rPr>
                    <w:b/>
                    <w:sz w:val="24"/>
                    <w:szCs w:val="24"/>
                  </w:rPr>
                </w:pPr>
                <w:r w:rsidRPr="001628B6">
                  <w:rPr>
                    <w:b/>
                    <w:sz w:val="24"/>
                    <w:szCs w:val="24"/>
                  </w:rPr>
                  <w:t>Case: Savitt Heavy Const. Equip., Inc.</w:t>
                </w:r>
              </w:p>
            </w:tc>
          </w:tr>
          <w:tr w:rsidR="00B21841" w:rsidRPr="001628B6" w14:paraId="31FAAD8A" w14:textId="77777777" w:rsidTr="00EF4E93">
            <w:tc>
              <w:tcPr>
                <w:tcW w:w="3596" w:type="dxa"/>
              </w:tcPr>
              <w:p w14:paraId="3ABF81B3" w14:textId="62F5AAD6" w:rsidR="00B21841" w:rsidRPr="001628B6" w:rsidRDefault="00B21841" w:rsidP="00EF4E93">
                <w:pPr>
                  <w:jc w:val="center"/>
                  <w:rPr>
                    <w:b/>
                    <w:sz w:val="24"/>
                    <w:szCs w:val="24"/>
                  </w:rPr>
                </w:pPr>
                <w:r>
                  <w:rPr>
                    <w:b/>
                    <w:sz w:val="24"/>
                    <w:szCs w:val="24"/>
                  </w:rPr>
                  <w:lastRenderedPageBreak/>
                  <w:t>Week 3</w:t>
                </w:r>
              </w:p>
              <w:p w14:paraId="5FDF76D6" w14:textId="77777777" w:rsidR="00B21841" w:rsidRPr="001628B6" w:rsidRDefault="00B21841" w:rsidP="00EF4E93">
                <w:pPr>
                  <w:jc w:val="center"/>
                  <w:rPr>
                    <w:b/>
                    <w:sz w:val="24"/>
                    <w:szCs w:val="24"/>
                    <w:u w:val="single"/>
                  </w:rPr>
                </w:pPr>
              </w:p>
            </w:tc>
            <w:tc>
              <w:tcPr>
                <w:tcW w:w="3597" w:type="dxa"/>
              </w:tcPr>
              <w:p w14:paraId="71581A3F" w14:textId="77777777" w:rsidR="00B21841" w:rsidRPr="001628B6" w:rsidRDefault="00B21841" w:rsidP="00EF4E93">
                <w:pPr>
                  <w:jc w:val="center"/>
                  <w:rPr>
                    <w:b/>
                    <w:sz w:val="24"/>
                    <w:szCs w:val="24"/>
                  </w:rPr>
                </w:pPr>
                <w:r w:rsidRPr="001628B6">
                  <w:rPr>
                    <w:b/>
                    <w:sz w:val="24"/>
                    <w:szCs w:val="24"/>
                  </w:rPr>
                  <w:t>Chap. 2: Understanding the Numbers-Analyzing Financial Stmts.</w:t>
                </w:r>
              </w:p>
              <w:p w14:paraId="5BF3C5DE" w14:textId="77777777" w:rsidR="00B21841" w:rsidRPr="001628B6" w:rsidRDefault="00B21841" w:rsidP="00EF4E93">
                <w:pPr>
                  <w:jc w:val="center"/>
                  <w:rPr>
                    <w:b/>
                    <w:sz w:val="24"/>
                    <w:szCs w:val="24"/>
                  </w:rPr>
                </w:pPr>
                <w:r w:rsidRPr="001628B6">
                  <w:rPr>
                    <w:b/>
                    <w:sz w:val="24"/>
                    <w:szCs w:val="24"/>
                  </w:rPr>
                  <w:t>Case:  Fit Rite, Inc.</w:t>
                </w:r>
              </w:p>
            </w:tc>
          </w:tr>
          <w:tr w:rsidR="00B21841" w:rsidRPr="001628B6" w14:paraId="5329D60D" w14:textId="77777777" w:rsidTr="00B21841">
            <w:tc>
              <w:tcPr>
                <w:tcW w:w="3596" w:type="dxa"/>
                <w:tcBorders>
                  <w:bottom w:val="single" w:sz="4" w:space="0" w:color="auto"/>
                </w:tcBorders>
              </w:tcPr>
              <w:p w14:paraId="78E06371" w14:textId="701046CA" w:rsidR="00B21841" w:rsidRPr="001628B6" w:rsidRDefault="00B21841" w:rsidP="00EF4E93">
                <w:pPr>
                  <w:jc w:val="center"/>
                  <w:rPr>
                    <w:b/>
                    <w:sz w:val="24"/>
                    <w:szCs w:val="24"/>
                  </w:rPr>
                </w:pPr>
                <w:r>
                  <w:rPr>
                    <w:b/>
                    <w:sz w:val="24"/>
                    <w:szCs w:val="24"/>
                  </w:rPr>
                  <w:t>Week 4</w:t>
                </w:r>
              </w:p>
              <w:p w14:paraId="5353DDDC" w14:textId="77777777" w:rsidR="00B21841" w:rsidRPr="001628B6" w:rsidRDefault="00B21841" w:rsidP="00EF4E93">
                <w:pPr>
                  <w:jc w:val="center"/>
                  <w:rPr>
                    <w:b/>
                    <w:sz w:val="24"/>
                    <w:szCs w:val="24"/>
                    <w:u w:val="single"/>
                  </w:rPr>
                </w:pPr>
              </w:p>
            </w:tc>
            <w:tc>
              <w:tcPr>
                <w:tcW w:w="3597" w:type="dxa"/>
                <w:tcBorders>
                  <w:bottom w:val="single" w:sz="4" w:space="0" w:color="auto"/>
                </w:tcBorders>
              </w:tcPr>
              <w:p w14:paraId="0465DF08" w14:textId="534E3880" w:rsidR="00B21841" w:rsidRPr="001628B6" w:rsidRDefault="00B21841" w:rsidP="00FD4A6D">
                <w:pPr>
                  <w:jc w:val="center"/>
                  <w:rPr>
                    <w:b/>
                    <w:sz w:val="24"/>
                    <w:szCs w:val="24"/>
                  </w:rPr>
                </w:pPr>
                <w:r w:rsidRPr="001628B6">
                  <w:rPr>
                    <w:b/>
                    <w:sz w:val="24"/>
                    <w:szCs w:val="24"/>
                  </w:rPr>
                  <w:t>Chap. 3A: Understanding the No.</w:t>
                </w:r>
                <w:r>
                  <w:rPr>
                    <w:b/>
                    <w:sz w:val="24"/>
                    <w:szCs w:val="24"/>
                  </w:rPr>
                  <w:t>'</w:t>
                </w:r>
                <w:r w:rsidRPr="001628B6">
                  <w:rPr>
                    <w:b/>
                    <w:sz w:val="24"/>
                    <w:szCs w:val="24"/>
                  </w:rPr>
                  <w:t>s – Analyzing Cash Flow Projections</w:t>
                </w:r>
              </w:p>
            </w:tc>
          </w:tr>
          <w:tr w:rsidR="00B21841" w:rsidRPr="001628B6" w14:paraId="02179EC0" w14:textId="77777777" w:rsidTr="00B21841">
            <w:tc>
              <w:tcPr>
                <w:tcW w:w="3596" w:type="dxa"/>
                <w:tcBorders>
                  <w:bottom w:val="nil"/>
                  <w:right w:val="single" w:sz="4" w:space="0" w:color="auto"/>
                </w:tcBorders>
              </w:tcPr>
              <w:p w14:paraId="070587A5" w14:textId="1CE8DC65" w:rsidR="00B21841" w:rsidRPr="001628B6" w:rsidRDefault="00B21841" w:rsidP="00EF4E93">
                <w:pPr>
                  <w:jc w:val="center"/>
                  <w:rPr>
                    <w:b/>
                    <w:sz w:val="24"/>
                    <w:szCs w:val="24"/>
                  </w:rPr>
                </w:pPr>
                <w:r>
                  <w:rPr>
                    <w:b/>
                    <w:sz w:val="24"/>
                    <w:szCs w:val="24"/>
                  </w:rPr>
                  <w:t>Week 5</w:t>
                </w:r>
              </w:p>
              <w:p w14:paraId="7A316D06" w14:textId="77777777" w:rsidR="00B21841" w:rsidRPr="001628B6" w:rsidRDefault="00B21841" w:rsidP="00EF4E93">
                <w:pPr>
                  <w:jc w:val="center"/>
                  <w:rPr>
                    <w:b/>
                    <w:sz w:val="24"/>
                    <w:szCs w:val="24"/>
                    <w:u w:val="single"/>
                  </w:rPr>
                </w:pPr>
              </w:p>
            </w:tc>
            <w:tc>
              <w:tcPr>
                <w:tcW w:w="3597" w:type="dxa"/>
                <w:tcBorders>
                  <w:left w:val="single" w:sz="4" w:space="0" w:color="auto"/>
                  <w:bottom w:val="nil"/>
                </w:tcBorders>
              </w:tcPr>
              <w:p w14:paraId="419938A8" w14:textId="77777777" w:rsidR="00B21841" w:rsidRPr="001628B6" w:rsidRDefault="00B21841" w:rsidP="00EF4E93">
                <w:pPr>
                  <w:jc w:val="center"/>
                  <w:rPr>
                    <w:b/>
                    <w:sz w:val="24"/>
                    <w:szCs w:val="24"/>
                  </w:rPr>
                </w:pPr>
                <w:r w:rsidRPr="001628B6">
                  <w:rPr>
                    <w:b/>
                    <w:sz w:val="24"/>
                    <w:szCs w:val="24"/>
                  </w:rPr>
                  <w:t xml:space="preserve">Chap. 4: Applying Non-Financial Analysis Skills; </w:t>
                </w:r>
              </w:p>
              <w:p w14:paraId="2E1F4E9D" w14:textId="77777777" w:rsidR="00B21841" w:rsidRPr="001628B6" w:rsidRDefault="00B21841" w:rsidP="00EF4E93">
                <w:pPr>
                  <w:jc w:val="center"/>
                  <w:rPr>
                    <w:b/>
                    <w:sz w:val="24"/>
                    <w:szCs w:val="24"/>
                  </w:rPr>
                </w:pPr>
                <w:r w:rsidRPr="001628B6">
                  <w:rPr>
                    <w:b/>
                    <w:sz w:val="24"/>
                    <w:szCs w:val="24"/>
                  </w:rPr>
                  <w:t>Case:  JR Wholesaling Co., Inc</w:t>
                </w:r>
              </w:p>
            </w:tc>
          </w:tr>
          <w:tr w:rsidR="00B21841" w:rsidRPr="001628B6" w14:paraId="307C12D3" w14:textId="77777777" w:rsidTr="00B21841">
            <w:tc>
              <w:tcPr>
                <w:tcW w:w="3596" w:type="dxa"/>
                <w:tcBorders>
                  <w:top w:val="nil"/>
                  <w:right w:val="single" w:sz="4" w:space="0" w:color="auto"/>
                </w:tcBorders>
              </w:tcPr>
              <w:p w14:paraId="190551F6" w14:textId="77777777" w:rsidR="00B21841" w:rsidRPr="001628B6" w:rsidRDefault="00B21841" w:rsidP="00765034">
                <w:pPr>
                  <w:jc w:val="center"/>
                  <w:rPr>
                    <w:b/>
                    <w:sz w:val="24"/>
                    <w:szCs w:val="24"/>
                  </w:rPr>
                </w:pPr>
              </w:p>
            </w:tc>
            <w:tc>
              <w:tcPr>
                <w:tcW w:w="3597" w:type="dxa"/>
                <w:tcBorders>
                  <w:top w:val="nil"/>
                  <w:left w:val="single" w:sz="4" w:space="0" w:color="auto"/>
                </w:tcBorders>
              </w:tcPr>
              <w:p w14:paraId="11AD96F1" w14:textId="77777777" w:rsidR="00B21841" w:rsidRPr="001628B6" w:rsidRDefault="00B21841" w:rsidP="00EF4E93">
                <w:pPr>
                  <w:jc w:val="center"/>
                  <w:rPr>
                    <w:b/>
                    <w:sz w:val="24"/>
                    <w:szCs w:val="24"/>
                  </w:rPr>
                </w:pPr>
                <w:r w:rsidRPr="001628B6">
                  <w:rPr>
                    <w:b/>
                    <w:sz w:val="24"/>
                    <w:szCs w:val="24"/>
                  </w:rPr>
                  <w:t>EXAM #1</w:t>
                </w:r>
              </w:p>
              <w:p w14:paraId="4B8460A2" w14:textId="77777777" w:rsidR="00B21841" w:rsidRPr="001628B6" w:rsidRDefault="00B21841" w:rsidP="00EF4E93">
                <w:pPr>
                  <w:jc w:val="center"/>
                  <w:rPr>
                    <w:b/>
                    <w:sz w:val="24"/>
                    <w:szCs w:val="24"/>
                  </w:rPr>
                </w:pPr>
                <w:r w:rsidRPr="001628B6">
                  <w:rPr>
                    <w:b/>
                    <w:sz w:val="24"/>
                    <w:szCs w:val="24"/>
                  </w:rPr>
                  <w:t>[Covers Chapters 1 through 4]</w:t>
                </w:r>
              </w:p>
            </w:tc>
          </w:tr>
          <w:tr w:rsidR="00B21841" w:rsidRPr="001628B6" w14:paraId="6A118EE8" w14:textId="77777777" w:rsidTr="00EF4E93">
            <w:tc>
              <w:tcPr>
                <w:tcW w:w="3596" w:type="dxa"/>
              </w:tcPr>
              <w:p w14:paraId="22EAF8AE" w14:textId="27A71673" w:rsidR="00B21841" w:rsidRPr="001628B6" w:rsidRDefault="00B21841" w:rsidP="00EF4E93">
                <w:pPr>
                  <w:jc w:val="center"/>
                  <w:rPr>
                    <w:b/>
                    <w:sz w:val="24"/>
                    <w:szCs w:val="24"/>
                  </w:rPr>
                </w:pPr>
                <w:r>
                  <w:rPr>
                    <w:b/>
                    <w:sz w:val="24"/>
                    <w:szCs w:val="24"/>
                  </w:rPr>
                  <w:t>Week 6</w:t>
                </w:r>
              </w:p>
              <w:p w14:paraId="2B52DE63" w14:textId="77777777" w:rsidR="00B21841" w:rsidRPr="001628B6" w:rsidRDefault="00B21841" w:rsidP="00EF4E93">
                <w:pPr>
                  <w:jc w:val="center"/>
                  <w:rPr>
                    <w:b/>
                    <w:sz w:val="24"/>
                    <w:szCs w:val="24"/>
                    <w:u w:val="single"/>
                  </w:rPr>
                </w:pPr>
              </w:p>
            </w:tc>
            <w:tc>
              <w:tcPr>
                <w:tcW w:w="3597" w:type="dxa"/>
              </w:tcPr>
              <w:p w14:paraId="6483AD7F" w14:textId="77777777" w:rsidR="00B21841" w:rsidRPr="001628B6" w:rsidRDefault="00B21841" w:rsidP="00EF4E93">
                <w:pPr>
                  <w:jc w:val="center"/>
                  <w:rPr>
                    <w:b/>
                    <w:sz w:val="24"/>
                    <w:szCs w:val="24"/>
                  </w:rPr>
                </w:pPr>
                <w:r w:rsidRPr="001628B6">
                  <w:rPr>
                    <w:b/>
                    <w:sz w:val="24"/>
                    <w:szCs w:val="24"/>
                  </w:rPr>
                  <w:t>Chap. 5: Loan Structuring</w:t>
                </w:r>
              </w:p>
              <w:p w14:paraId="2AA3D43A" w14:textId="77777777" w:rsidR="00B21841" w:rsidRPr="001628B6" w:rsidRDefault="00B21841" w:rsidP="00EF4E93">
                <w:pPr>
                  <w:jc w:val="center"/>
                  <w:rPr>
                    <w:b/>
                    <w:sz w:val="24"/>
                    <w:szCs w:val="24"/>
                  </w:rPr>
                </w:pPr>
                <w:r w:rsidRPr="001628B6">
                  <w:rPr>
                    <w:b/>
                    <w:sz w:val="24"/>
                    <w:szCs w:val="24"/>
                  </w:rPr>
                  <w:t>Case: Payne Equipment, LLC</w:t>
                </w:r>
              </w:p>
            </w:tc>
          </w:tr>
          <w:tr w:rsidR="00B21841" w:rsidRPr="001628B6" w14:paraId="3FEE5EB6" w14:textId="77777777" w:rsidTr="00EF4E93">
            <w:tc>
              <w:tcPr>
                <w:tcW w:w="3596" w:type="dxa"/>
              </w:tcPr>
              <w:p w14:paraId="3EA45251" w14:textId="753C259B" w:rsidR="00B21841" w:rsidRPr="001628B6" w:rsidRDefault="00B21841" w:rsidP="00EF4E93">
                <w:pPr>
                  <w:jc w:val="center"/>
                  <w:rPr>
                    <w:b/>
                    <w:sz w:val="24"/>
                    <w:szCs w:val="24"/>
                  </w:rPr>
                </w:pPr>
                <w:r>
                  <w:rPr>
                    <w:b/>
                    <w:sz w:val="24"/>
                    <w:szCs w:val="24"/>
                  </w:rPr>
                  <w:t>Week 7</w:t>
                </w:r>
              </w:p>
              <w:p w14:paraId="40F6C6D1" w14:textId="77777777" w:rsidR="00B21841" w:rsidRPr="001628B6" w:rsidRDefault="00B21841" w:rsidP="00EF4E93">
                <w:pPr>
                  <w:jc w:val="center"/>
                  <w:rPr>
                    <w:b/>
                    <w:sz w:val="24"/>
                    <w:szCs w:val="24"/>
                    <w:u w:val="single"/>
                  </w:rPr>
                </w:pPr>
              </w:p>
            </w:tc>
            <w:tc>
              <w:tcPr>
                <w:tcW w:w="3597" w:type="dxa"/>
              </w:tcPr>
              <w:p w14:paraId="72C9B9EB" w14:textId="77777777" w:rsidR="00B21841" w:rsidRPr="001628B6" w:rsidRDefault="00B21841" w:rsidP="00EF4E93">
                <w:pPr>
                  <w:jc w:val="center"/>
                  <w:rPr>
                    <w:b/>
                    <w:sz w:val="24"/>
                    <w:szCs w:val="24"/>
                  </w:rPr>
                </w:pPr>
                <w:r w:rsidRPr="001628B6">
                  <w:rPr>
                    <w:b/>
                    <w:sz w:val="24"/>
                    <w:szCs w:val="24"/>
                  </w:rPr>
                  <w:t>Chap. 6: Third Party Support</w:t>
                </w:r>
              </w:p>
            </w:tc>
          </w:tr>
          <w:tr w:rsidR="00B21841" w:rsidRPr="001628B6" w14:paraId="4D7FBBD7" w14:textId="77777777" w:rsidTr="00B21841">
            <w:tc>
              <w:tcPr>
                <w:tcW w:w="3596" w:type="dxa"/>
                <w:tcBorders>
                  <w:bottom w:val="single" w:sz="4" w:space="0" w:color="auto"/>
                </w:tcBorders>
              </w:tcPr>
              <w:p w14:paraId="36B44D26" w14:textId="3426D8E8" w:rsidR="00B21841" w:rsidRPr="001628B6" w:rsidRDefault="00B21841" w:rsidP="00EF4E93">
                <w:pPr>
                  <w:jc w:val="center"/>
                  <w:rPr>
                    <w:b/>
                    <w:sz w:val="24"/>
                    <w:szCs w:val="24"/>
                  </w:rPr>
                </w:pPr>
                <w:r>
                  <w:rPr>
                    <w:b/>
                    <w:sz w:val="24"/>
                    <w:szCs w:val="24"/>
                  </w:rPr>
                  <w:t>Week 8</w:t>
                </w:r>
              </w:p>
              <w:p w14:paraId="3E008D43" w14:textId="77777777" w:rsidR="00B21841" w:rsidRPr="001628B6" w:rsidRDefault="00B21841" w:rsidP="00EF4E93">
                <w:pPr>
                  <w:jc w:val="center"/>
                  <w:rPr>
                    <w:b/>
                    <w:sz w:val="24"/>
                    <w:szCs w:val="24"/>
                    <w:u w:val="single"/>
                  </w:rPr>
                </w:pPr>
              </w:p>
            </w:tc>
            <w:tc>
              <w:tcPr>
                <w:tcW w:w="3597" w:type="dxa"/>
                <w:tcBorders>
                  <w:bottom w:val="single" w:sz="4" w:space="0" w:color="auto"/>
                </w:tcBorders>
              </w:tcPr>
              <w:p w14:paraId="1FE714DA" w14:textId="77777777" w:rsidR="00B21841" w:rsidRPr="001628B6" w:rsidRDefault="00B21841" w:rsidP="00EF4E93">
                <w:pPr>
                  <w:jc w:val="center"/>
                  <w:rPr>
                    <w:b/>
                    <w:sz w:val="24"/>
                    <w:szCs w:val="24"/>
                  </w:rPr>
                </w:pPr>
                <w:r w:rsidRPr="001628B6">
                  <w:rPr>
                    <w:b/>
                    <w:sz w:val="24"/>
                    <w:szCs w:val="24"/>
                  </w:rPr>
                  <w:t>Chap. 6: Personal Credit Bureau Scores</w:t>
                </w:r>
              </w:p>
              <w:p w14:paraId="7F17C223" w14:textId="77777777" w:rsidR="00B21841" w:rsidRPr="001628B6" w:rsidRDefault="00B21841" w:rsidP="00EF4E93">
                <w:pPr>
                  <w:jc w:val="center"/>
                  <w:rPr>
                    <w:b/>
                    <w:sz w:val="24"/>
                    <w:szCs w:val="24"/>
                  </w:rPr>
                </w:pPr>
                <w:r w:rsidRPr="001628B6">
                  <w:rPr>
                    <w:b/>
                    <w:sz w:val="24"/>
                    <w:szCs w:val="24"/>
                  </w:rPr>
                  <w:t>Chap. 6A: Presentation Package</w:t>
                </w:r>
              </w:p>
            </w:tc>
          </w:tr>
          <w:tr w:rsidR="00B21841" w:rsidRPr="001628B6" w14:paraId="724033C8" w14:textId="77777777" w:rsidTr="00B21841">
            <w:tc>
              <w:tcPr>
                <w:tcW w:w="3596" w:type="dxa"/>
                <w:tcBorders>
                  <w:bottom w:val="nil"/>
                  <w:right w:val="nil"/>
                </w:tcBorders>
              </w:tcPr>
              <w:p w14:paraId="2A97D31C" w14:textId="52F4EA03" w:rsidR="00B21841" w:rsidRPr="001628B6" w:rsidRDefault="00B21841" w:rsidP="00EF4E93">
                <w:pPr>
                  <w:jc w:val="center"/>
                  <w:rPr>
                    <w:b/>
                    <w:sz w:val="24"/>
                    <w:szCs w:val="24"/>
                  </w:rPr>
                </w:pPr>
                <w:r>
                  <w:rPr>
                    <w:b/>
                    <w:sz w:val="24"/>
                    <w:szCs w:val="24"/>
                  </w:rPr>
                  <w:t>Week 9</w:t>
                </w:r>
              </w:p>
              <w:p w14:paraId="1D8A95DE" w14:textId="77777777" w:rsidR="00B21841" w:rsidRPr="001628B6" w:rsidRDefault="00B21841" w:rsidP="00EF4E93">
                <w:pPr>
                  <w:jc w:val="center"/>
                  <w:rPr>
                    <w:b/>
                    <w:sz w:val="24"/>
                    <w:szCs w:val="24"/>
                    <w:u w:val="single"/>
                  </w:rPr>
                </w:pPr>
              </w:p>
            </w:tc>
            <w:tc>
              <w:tcPr>
                <w:tcW w:w="3597" w:type="dxa"/>
                <w:tcBorders>
                  <w:bottom w:val="nil"/>
                </w:tcBorders>
              </w:tcPr>
              <w:p w14:paraId="7B2269C2" w14:textId="77777777" w:rsidR="00B21841" w:rsidRPr="001628B6" w:rsidRDefault="00B21841" w:rsidP="00EF4E93">
                <w:pPr>
                  <w:jc w:val="center"/>
                  <w:rPr>
                    <w:b/>
                    <w:sz w:val="24"/>
                    <w:szCs w:val="24"/>
                  </w:rPr>
                </w:pPr>
                <w:r w:rsidRPr="001628B6">
                  <w:rPr>
                    <w:b/>
                    <w:sz w:val="24"/>
                    <w:szCs w:val="24"/>
                  </w:rPr>
                  <w:t>Chap. 7: Analyzing Business Tax Returns</w:t>
                </w:r>
              </w:p>
            </w:tc>
          </w:tr>
          <w:tr w:rsidR="00B21841" w:rsidRPr="001628B6" w14:paraId="4A4DB3E3" w14:textId="77777777" w:rsidTr="00B21841">
            <w:tc>
              <w:tcPr>
                <w:tcW w:w="3596" w:type="dxa"/>
                <w:tcBorders>
                  <w:top w:val="nil"/>
                  <w:right w:val="nil"/>
                </w:tcBorders>
              </w:tcPr>
              <w:p w14:paraId="7DE3181E" w14:textId="77777777" w:rsidR="00B21841" w:rsidRPr="001628B6" w:rsidRDefault="00B21841" w:rsidP="00765034">
                <w:pPr>
                  <w:jc w:val="center"/>
                  <w:rPr>
                    <w:b/>
                    <w:sz w:val="24"/>
                    <w:szCs w:val="24"/>
                  </w:rPr>
                </w:pPr>
              </w:p>
            </w:tc>
            <w:tc>
              <w:tcPr>
                <w:tcW w:w="3597" w:type="dxa"/>
                <w:tcBorders>
                  <w:top w:val="nil"/>
                </w:tcBorders>
              </w:tcPr>
              <w:p w14:paraId="27249945" w14:textId="77777777" w:rsidR="00B21841" w:rsidRPr="001628B6" w:rsidRDefault="00B21841" w:rsidP="00EF4E93">
                <w:pPr>
                  <w:jc w:val="center"/>
                  <w:rPr>
                    <w:b/>
                    <w:sz w:val="24"/>
                    <w:szCs w:val="24"/>
                  </w:rPr>
                </w:pPr>
                <w:r w:rsidRPr="001628B6">
                  <w:rPr>
                    <w:b/>
                    <w:sz w:val="24"/>
                    <w:szCs w:val="24"/>
                  </w:rPr>
                  <w:t>EXAM #2</w:t>
                </w:r>
              </w:p>
              <w:p w14:paraId="4218BE6A" w14:textId="77777777" w:rsidR="00B21841" w:rsidRPr="001628B6" w:rsidRDefault="00B21841" w:rsidP="00EF4E93">
                <w:pPr>
                  <w:jc w:val="center"/>
                  <w:rPr>
                    <w:b/>
                    <w:sz w:val="24"/>
                    <w:szCs w:val="24"/>
                  </w:rPr>
                </w:pPr>
                <w:r w:rsidRPr="001628B6">
                  <w:rPr>
                    <w:b/>
                    <w:sz w:val="24"/>
                    <w:szCs w:val="24"/>
                  </w:rPr>
                  <w:t>[Covers Chapters 5 through 7]</w:t>
                </w:r>
              </w:p>
            </w:tc>
          </w:tr>
          <w:tr w:rsidR="00B21841" w:rsidRPr="001628B6" w14:paraId="34EB7521" w14:textId="77777777" w:rsidTr="00B21841">
            <w:tc>
              <w:tcPr>
                <w:tcW w:w="3596" w:type="dxa"/>
                <w:tcBorders>
                  <w:bottom w:val="single" w:sz="4" w:space="0" w:color="auto"/>
                </w:tcBorders>
              </w:tcPr>
              <w:p w14:paraId="21FADAF7" w14:textId="1C5FB5DD" w:rsidR="00B21841" w:rsidRPr="001628B6" w:rsidRDefault="00B21841" w:rsidP="00EF4E93">
                <w:pPr>
                  <w:jc w:val="center"/>
                  <w:rPr>
                    <w:b/>
                    <w:sz w:val="24"/>
                    <w:szCs w:val="24"/>
                  </w:rPr>
                </w:pPr>
                <w:r>
                  <w:rPr>
                    <w:b/>
                    <w:sz w:val="24"/>
                    <w:szCs w:val="24"/>
                  </w:rPr>
                  <w:t>Week 10</w:t>
                </w:r>
              </w:p>
              <w:p w14:paraId="2FAF04DB" w14:textId="77777777" w:rsidR="00B21841" w:rsidRPr="001628B6" w:rsidRDefault="00B21841" w:rsidP="00EF4E93">
                <w:pPr>
                  <w:jc w:val="center"/>
                  <w:rPr>
                    <w:b/>
                    <w:sz w:val="24"/>
                    <w:szCs w:val="24"/>
                    <w:u w:val="single"/>
                  </w:rPr>
                </w:pPr>
              </w:p>
            </w:tc>
            <w:tc>
              <w:tcPr>
                <w:tcW w:w="3597" w:type="dxa"/>
                <w:tcBorders>
                  <w:bottom w:val="single" w:sz="4" w:space="0" w:color="auto"/>
                </w:tcBorders>
              </w:tcPr>
              <w:p w14:paraId="635F6A24" w14:textId="77777777" w:rsidR="00B21841" w:rsidRPr="001628B6" w:rsidRDefault="00B21841" w:rsidP="00EF4E93">
                <w:pPr>
                  <w:jc w:val="center"/>
                  <w:rPr>
                    <w:b/>
                    <w:sz w:val="24"/>
                    <w:szCs w:val="24"/>
                  </w:rPr>
                </w:pPr>
                <w:r w:rsidRPr="001628B6">
                  <w:rPr>
                    <w:b/>
                    <w:sz w:val="24"/>
                    <w:szCs w:val="24"/>
                  </w:rPr>
                  <w:t>Chap. 8: Analyzing Personal Financial Statements &amp; Tax Returns</w:t>
                </w:r>
              </w:p>
              <w:p w14:paraId="5E77CC74" w14:textId="77777777" w:rsidR="00B21841" w:rsidRPr="001628B6" w:rsidRDefault="00B21841" w:rsidP="00EF4E93">
                <w:pPr>
                  <w:jc w:val="center"/>
                  <w:rPr>
                    <w:b/>
                    <w:sz w:val="24"/>
                    <w:szCs w:val="24"/>
                  </w:rPr>
                </w:pPr>
              </w:p>
            </w:tc>
          </w:tr>
          <w:tr w:rsidR="00B21841" w:rsidRPr="001628B6" w14:paraId="4E398BD7" w14:textId="77777777" w:rsidTr="00B21841">
            <w:tc>
              <w:tcPr>
                <w:tcW w:w="3596" w:type="dxa"/>
                <w:tcBorders>
                  <w:bottom w:val="nil"/>
                  <w:right w:val="single" w:sz="4" w:space="0" w:color="auto"/>
                </w:tcBorders>
              </w:tcPr>
              <w:p w14:paraId="47F9378C" w14:textId="7086DC1D" w:rsidR="00B21841" w:rsidRPr="001628B6" w:rsidRDefault="00B21841" w:rsidP="00EF4E93">
                <w:pPr>
                  <w:jc w:val="center"/>
                  <w:rPr>
                    <w:b/>
                    <w:sz w:val="24"/>
                    <w:szCs w:val="24"/>
                  </w:rPr>
                </w:pPr>
                <w:r>
                  <w:rPr>
                    <w:b/>
                    <w:sz w:val="24"/>
                    <w:szCs w:val="24"/>
                  </w:rPr>
                  <w:t>Week 11</w:t>
                </w:r>
              </w:p>
              <w:p w14:paraId="3ED4D76B" w14:textId="77777777" w:rsidR="00B21841" w:rsidRPr="001628B6" w:rsidRDefault="00B21841" w:rsidP="00EF4E93">
                <w:pPr>
                  <w:jc w:val="center"/>
                  <w:rPr>
                    <w:b/>
                    <w:sz w:val="24"/>
                    <w:szCs w:val="24"/>
                    <w:u w:val="single"/>
                  </w:rPr>
                </w:pPr>
              </w:p>
            </w:tc>
            <w:tc>
              <w:tcPr>
                <w:tcW w:w="3597" w:type="dxa"/>
                <w:tcBorders>
                  <w:left w:val="single" w:sz="4" w:space="0" w:color="auto"/>
                  <w:bottom w:val="nil"/>
                </w:tcBorders>
              </w:tcPr>
              <w:p w14:paraId="1C246228" w14:textId="77777777" w:rsidR="00B21841" w:rsidRPr="001628B6" w:rsidRDefault="00B21841" w:rsidP="00EF4E93">
                <w:pPr>
                  <w:jc w:val="center"/>
                  <w:rPr>
                    <w:b/>
                    <w:sz w:val="24"/>
                    <w:szCs w:val="24"/>
                  </w:rPr>
                </w:pPr>
                <w:r w:rsidRPr="001628B6">
                  <w:rPr>
                    <w:b/>
                    <w:sz w:val="24"/>
                    <w:szCs w:val="24"/>
                  </w:rPr>
                  <w:t>Chap. 8A: Global Cash Flow</w:t>
                </w:r>
              </w:p>
              <w:p w14:paraId="3AD666FB" w14:textId="422EDD50" w:rsidR="00B21841" w:rsidRPr="001628B6" w:rsidRDefault="00B21841" w:rsidP="00FD4A6D">
                <w:pPr>
                  <w:jc w:val="center"/>
                  <w:rPr>
                    <w:b/>
                    <w:sz w:val="24"/>
                    <w:szCs w:val="24"/>
                  </w:rPr>
                </w:pPr>
                <w:r w:rsidRPr="001628B6">
                  <w:rPr>
                    <w:b/>
                    <w:sz w:val="24"/>
                    <w:szCs w:val="24"/>
                  </w:rPr>
                  <w:t>Case: Anderson</w:t>
                </w:r>
                <w:r>
                  <w:rPr>
                    <w:b/>
                    <w:sz w:val="24"/>
                    <w:szCs w:val="24"/>
                  </w:rPr>
                  <w:t>'</w:t>
                </w:r>
                <w:r w:rsidRPr="001628B6">
                  <w:rPr>
                    <w:b/>
                    <w:sz w:val="24"/>
                    <w:szCs w:val="24"/>
                  </w:rPr>
                  <w:t>s Apt. Refinance</w:t>
                </w:r>
              </w:p>
            </w:tc>
          </w:tr>
          <w:tr w:rsidR="00B21841" w:rsidRPr="001628B6" w14:paraId="300433E3" w14:textId="77777777" w:rsidTr="00B21841">
            <w:tc>
              <w:tcPr>
                <w:tcW w:w="3596" w:type="dxa"/>
                <w:tcBorders>
                  <w:top w:val="nil"/>
                  <w:right w:val="single" w:sz="4" w:space="0" w:color="auto"/>
                </w:tcBorders>
              </w:tcPr>
              <w:p w14:paraId="48B510A3" w14:textId="72128C4B" w:rsidR="00B21841" w:rsidRPr="001628B6" w:rsidRDefault="00B21841" w:rsidP="00B21841">
                <w:pPr>
                  <w:rPr>
                    <w:b/>
                    <w:sz w:val="24"/>
                    <w:szCs w:val="24"/>
                    <w:u w:val="single"/>
                  </w:rPr>
                </w:pPr>
              </w:p>
            </w:tc>
            <w:tc>
              <w:tcPr>
                <w:tcW w:w="3597" w:type="dxa"/>
                <w:tcBorders>
                  <w:top w:val="nil"/>
                  <w:left w:val="single" w:sz="4" w:space="0" w:color="auto"/>
                </w:tcBorders>
              </w:tcPr>
              <w:p w14:paraId="30BBE12D" w14:textId="77777777" w:rsidR="00B21841" w:rsidRPr="001628B6" w:rsidRDefault="00B21841" w:rsidP="00EF4E93">
                <w:pPr>
                  <w:jc w:val="center"/>
                  <w:rPr>
                    <w:b/>
                    <w:sz w:val="24"/>
                    <w:szCs w:val="24"/>
                  </w:rPr>
                </w:pPr>
                <w:r w:rsidRPr="001628B6">
                  <w:rPr>
                    <w:b/>
                    <w:sz w:val="24"/>
                    <w:szCs w:val="24"/>
                  </w:rPr>
                  <w:t>Chap. 9: Detecting Problem Loans</w:t>
                </w:r>
              </w:p>
              <w:p w14:paraId="32BA4C0C" w14:textId="77777777" w:rsidR="00B21841" w:rsidRPr="001628B6" w:rsidRDefault="00B21841" w:rsidP="00EF4E93">
                <w:pPr>
                  <w:jc w:val="center"/>
                  <w:rPr>
                    <w:b/>
                    <w:sz w:val="24"/>
                    <w:szCs w:val="24"/>
                  </w:rPr>
                </w:pPr>
                <w:r w:rsidRPr="001628B6">
                  <w:rPr>
                    <w:b/>
                    <w:sz w:val="24"/>
                    <w:szCs w:val="24"/>
                  </w:rPr>
                  <w:t>Case:  Acme Paint Co.</w:t>
                </w:r>
              </w:p>
            </w:tc>
          </w:tr>
          <w:tr w:rsidR="00B21841" w:rsidRPr="001628B6" w14:paraId="5E855446" w14:textId="77777777" w:rsidTr="00EF4E93">
            <w:tc>
              <w:tcPr>
                <w:tcW w:w="3596" w:type="dxa"/>
              </w:tcPr>
              <w:p w14:paraId="2C4768E7" w14:textId="291ABC01" w:rsidR="00B21841" w:rsidRPr="001628B6" w:rsidRDefault="00B21841" w:rsidP="00EF4E93">
                <w:pPr>
                  <w:jc w:val="center"/>
                  <w:rPr>
                    <w:b/>
                    <w:sz w:val="24"/>
                    <w:szCs w:val="24"/>
                  </w:rPr>
                </w:pPr>
                <w:r>
                  <w:rPr>
                    <w:b/>
                    <w:sz w:val="24"/>
                    <w:szCs w:val="24"/>
                  </w:rPr>
                  <w:t>Week 12</w:t>
                </w:r>
              </w:p>
              <w:p w14:paraId="4A902CCD" w14:textId="77777777" w:rsidR="00B21841" w:rsidRPr="001628B6" w:rsidRDefault="00B21841" w:rsidP="00EF4E93">
                <w:pPr>
                  <w:jc w:val="center"/>
                  <w:rPr>
                    <w:b/>
                    <w:sz w:val="24"/>
                    <w:szCs w:val="24"/>
                    <w:u w:val="single"/>
                  </w:rPr>
                </w:pPr>
              </w:p>
            </w:tc>
            <w:tc>
              <w:tcPr>
                <w:tcW w:w="3597" w:type="dxa"/>
              </w:tcPr>
              <w:p w14:paraId="5F48C716" w14:textId="77777777" w:rsidR="00B21841" w:rsidRPr="001628B6" w:rsidRDefault="00B21841" w:rsidP="00EF4E93">
                <w:pPr>
                  <w:jc w:val="center"/>
                  <w:rPr>
                    <w:b/>
                    <w:sz w:val="24"/>
                    <w:szCs w:val="24"/>
                  </w:rPr>
                </w:pPr>
                <w:r w:rsidRPr="001628B6">
                  <w:rPr>
                    <w:b/>
                    <w:sz w:val="24"/>
                    <w:szCs w:val="24"/>
                  </w:rPr>
                  <w:t>Loan Case Presentations</w:t>
                </w:r>
              </w:p>
              <w:p w14:paraId="060A91BB" w14:textId="77777777" w:rsidR="00B21841" w:rsidRPr="001628B6" w:rsidRDefault="00B21841" w:rsidP="00EF4E93">
                <w:pPr>
                  <w:jc w:val="center"/>
                  <w:rPr>
                    <w:b/>
                    <w:sz w:val="24"/>
                    <w:szCs w:val="24"/>
                  </w:rPr>
                </w:pPr>
                <w:r w:rsidRPr="001628B6">
                  <w:rPr>
                    <w:b/>
                    <w:sz w:val="24"/>
                    <w:szCs w:val="24"/>
                  </w:rPr>
                  <w:t>[Prep – Work in Groups]</w:t>
                </w:r>
              </w:p>
            </w:tc>
          </w:tr>
          <w:tr w:rsidR="00B21841" w:rsidRPr="001628B6" w14:paraId="562A83A1" w14:textId="77777777" w:rsidTr="00B21841">
            <w:tc>
              <w:tcPr>
                <w:tcW w:w="3596" w:type="dxa"/>
                <w:tcBorders>
                  <w:bottom w:val="single" w:sz="4" w:space="0" w:color="auto"/>
                </w:tcBorders>
              </w:tcPr>
              <w:p w14:paraId="3BFEFB1D" w14:textId="2013810B" w:rsidR="00B21841" w:rsidRPr="001628B6" w:rsidRDefault="00B21841" w:rsidP="00EF4E93">
                <w:pPr>
                  <w:jc w:val="center"/>
                  <w:rPr>
                    <w:b/>
                    <w:sz w:val="24"/>
                    <w:szCs w:val="24"/>
                  </w:rPr>
                </w:pPr>
                <w:r>
                  <w:rPr>
                    <w:b/>
                    <w:sz w:val="24"/>
                    <w:szCs w:val="24"/>
                  </w:rPr>
                  <w:t>Week 13</w:t>
                </w:r>
              </w:p>
              <w:p w14:paraId="3FF460C6" w14:textId="77777777" w:rsidR="00B21841" w:rsidRPr="001628B6" w:rsidRDefault="00B21841" w:rsidP="00EF4E93">
                <w:pPr>
                  <w:jc w:val="center"/>
                  <w:rPr>
                    <w:b/>
                    <w:sz w:val="24"/>
                    <w:szCs w:val="24"/>
                  </w:rPr>
                </w:pPr>
              </w:p>
            </w:tc>
            <w:tc>
              <w:tcPr>
                <w:tcW w:w="3597" w:type="dxa"/>
                <w:tcBorders>
                  <w:bottom w:val="single" w:sz="4" w:space="0" w:color="auto"/>
                </w:tcBorders>
              </w:tcPr>
              <w:p w14:paraId="29C3A0DB" w14:textId="77777777" w:rsidR="00B21841" w:rsidRPr="001628B6" w:rsidRDefault="00B21841" w:rsidP="00EF4E93">
                <w:pPr>
                  <w:jc w:val="center"/>
                  <w:rPr>
                    <w:b/>
                    <w:sz w:val="24"/>
                    <w:szCs w:val="24"/>
                  </w:rPr>
                </w:pPr>
                <w:r w:rsidRPr="001628B6">
                  <w:rPr>
                    <w:b/>
                    <w:sz w:val="24"/>
                    <w:szCs w:val="24"/>
                  </w:rPr>
                  <w:t>Loan Case Presentations</w:t>
                </w:r>
              </w:p>
              <w:p w14:paraId="50FEB31F" w14:textId="77777777" w:rsidR="00B21841" w:rsidRPr="001628B6" w:rsidRDefault="00B21841" w:rsidP="00EF4E93">
                <w:pPr>
                  <w:jc w:val="center"/>
                  <w:rPr>
                    <w:b/>
                    <w:sz w:val="24"/>
                    <w:szCs w:val="24"/>
                  </w:rPr>
                </w:pPr>
                <w:r w:rsidRPr="001628B6">
                  <w:rPr>
                    <w:b/>
                    <w:sz w:val="24"/>
                    <w:szCs w:val="24"/>
                  </w:rPr>
                  <w:t>[Present to Banker Loan Comm.]</w:t>
                </w:r>
              </w:p>
            </w:tc>
          </w:tr>
          <w:tr w:rsidR="00B21841" w:rsidRPr="001628B6" w14:paraId="14CCC8F3" w14:textId="77777777" w:rsidTr="005572E7">
            <w:tc>
              <w:tcPr>
                <w:tcW w:w="3596" w:type="dxa"/>
                <w:tcBorders>
                  <w:bottom w:val="single" w:sz="4" w:space="0" w:color="auto"/>
                  <w:right w:val="single" w:sz="4" w:space="0" w:color="auto"/>
                </w:tcBorders>
              </w:tcPr>
              <w:p w14:paraId="38088963" w14:textId="689C6027" w:rsidR="00B21841" w:rsidRPr="001628B6" w:rsidRDefault="00B21841" w:rsidP="00EF4E93">
                <w:pPr>
                  <w:jc w:val="center"/>
                  <w:rPr>
                    <w:b/>
                    <w:sz w:val="24"/>
                    <w:szCs w:val="24"/>
                  </w:rPr>
                </w:pPr>
                <w:r>
                  <w:rPr>
                    <w:b/>
                    <w:sz w:val="24"/>
                    <w:szCs w:val="24"/>
                  </w:rPr>
                  <w:t>Week 14</w:t>
                </w:r>
              </w:p>
              <w:p w14:paraId="3A8B62E6" w14:textId="77777777" w:rsidR="00B21841" w:rsidRPr="001628B6" w:rsidRDefault="00B21841" w:rsidP="00EF4E93">
                <w:pPr>
                  <w:jc w:val="center"/>
                  <w:rPr>
                    <w:b/>
                    <w:sz w:val="24"/>
                    <w:szCs w:val="24"/>
                  </w:rPr>
                </w:pPr>
              </w:p>
            </w:tc>
            <w:tc>
              <w:tcPr>
                <w:tcW w:w="3597" w:type="dxa"/>
                <w:tcBorders>
                  <w:left w:val="single" w:sz="4" w:space="0" w:color="auto"/>
                  <w:bottom w:val="single" w:sz="4" w:space="0" w:color="auto"/>
                </w:tcBorders>
              </w:tcPr>
              <w:p w14:paraId="47B2932A" w14:textId="77777777" w:rsidR="00B21841" w:rsidRPr="001628B6" w:rsidRDefault="00B21841" w:rsidP="00EF4E93">
                <w:pPr>
                  <w:jc w:val="center"/>
                  <w:rPr>
                    <w:b/>
                    <w:sz w:val="24"/>
                    <w:szCs w:val="24"/>
                  </w:rPr>
                </w:pPr>
                <w:r w:rsidRPr="001628B6">
                  <w:rPr>
                    <w:b/>
                    <w:sz w:val="24"/>
                    <w:szCs w:val="24"/>
                  </w:rPr>
                  <w:t>EXAM #3</w:t>
                </w:r>
              </w:p>
              <w:p w14:paraId="28C47BC4" w14:textId="77777777" w:rsidR="00B21841" w:rsidRPr="001628B6" w:rsidRDefault="00B21841" w:rsidP="00EF4E93">
                <w:pPr>
                  <w:jc w:val="center"/>
                  <w:rPr>
                    <w:b/>
                    <w:sz w:val="24"/>
                    <w:szCs w:val="24"/>
                  </w:rPr>
                </w:pPr>
                <w:r w:rsidRPr="001628B6">
                  <w:rPr>
                    <w:b/>
                    <w:sz w:val="24"/>
                    <w:szCs w:val="24"/>
                  </w:rPr>
                  <w:t>[Covers Chapters 8; 8A; 9]</w:t>
                </w:r>
              </w:p>
            </w:tc>
          </w:tr>
          <w:tr w:rsidR="00B21841" w:rsidRPr="001628B6" w14:paraId="64714838" w14:textId="77777777" w:rsidTr="005572E7">
            <w:tc>
              <w:tcPr>
                <w:tcW w:w="3596" w:type="dxa"/>
                <w:tcBorders>
                  <w:top w:val="single" w:sz="4" w:space="0" w:color="auto"/>
                  <w:right w:val="single" w:sz="4" w:space="0" w:color="auto"/>
                </w:tcBorders>
              </w:tcPr>
              <w:p w14:paraId="051633E4" w14:textId="5D0634A0" w:rsidR="00B21841" w:rsidRPr="001628B6" w:rsidRDefault="005572E7" w:rsidP="00B21841">
                <w:pPr>
                  <w:jc w:val="center"/>
                  <w:rPr>
                    <w:b/>
                    <w:sz w:val="24"/>
                    <w:szCs w:val="24"/>
                  </w:rPr>
                </w:pPr>
                <w:r>
                  <w:rPr>
                    <w:b/>
                    <w:sz w:val="24"/>
                    <w:szCs w:val="24"/>
                  </w:rPr>
                  <w:t>Week 15</w:t>
                </w:r>
              </w:p>
            </w:tc>
            <w:tc>
              <w:tcPr>
                <w:tcW w:w="3597" w:type="dxa"/>
                <w:tcBorders>
                  <w:top w:val="single" w:sz="4" w:space="0" w:color="auto"/>
                  <w:left w:val="single" w:sz="4" w:space="0" w:color="auto"/>
                </w:tcBorders>
              </w:tcPr>
              <w:p w14:paraId="3E2A6504" w14:textId="77777777" w:rsidR="00B21841" w:rsidRPr="001628B6" w:rsidRDefault="00B21841" w:rsidP="00EF4E93">
                <w:pPr>
                  <w:jc w:val="center"/>
                  <w:rPr>
                    <w:b/>
                    <w:sz w:val="24"/>
                    <w:szCs w:val="24"/>
                  </w:rPr>
                </w:pPr>
                <w:r w:rsidRPr="001628B6">
                  <w:rPr>
                    <w:b/>
                    <w:sz w:val="24"/>
                    <w:szCs w:val="24"/>
                  </w:rPr>
                  <w:t>FINAL EXAM</w:t>
                </w:r>
              </w:p>
              <w:p w14:paraId="7B722137" w14:textId="77777777" w:rsidR="00B21841" w:rsidRPr="001628B6" w:rsidRDefault="00B21841" w:rsidP="00EF4E93">
                <w:pPr>
                  <w:jc w:val="center"/>
                  <w:rPr>
                    <w:b/>
                    <w:sz w:val="24"/>
                    <w:szCs w:val="24"/>
                  </w:rPr>
                </w:pPr>
              </w:p>
            </w:tc>
          </w:tr>
        </w:tbl>
        <w:p w14:paraId="4C36B818" w14:textId="0590D32F" w:rsidR="00A966C5" w:rsidRPr="008426D1" w:rsidRDefault="00AB0811"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4C534BBF" w:rsidR="00A966C5" w:rsidRPr="008426D1" w:rsidRDefault="00FD4A6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Taught by Current Faculty</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1A8E4E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FD4A6D">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FE0B1BD"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FD4A6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AB0811"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FF4CEDB"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FD4A6D">
            <w:rPr>
              <w:rFonts w:asciiTheme="majorHAnsi" w:hAnsiTheme="majorHAnsi" w:cs="Arial"/>
              <w:sz w:val="20"/>
              <w:szCs w:val="20"/>
            </w:rPr>
            <w:t>The Finance Banking emphasis degree helps prepare students for careers in commercial banking. Commercial Banks are one of the most important financial institutions in our economy, and one of their primary functions is commercial lending. The majority of income produced by commercial banks is from commercial lending activities. Currently, two courses are dedicated to the coverage of commercial banks. Limited coverage is given to t</w:t>
          </w:r>
          <w:r w:rsidR="00264AFE">
            <w:rPr>
              <w:rFonts w:asciiTheme="majorHAnsi" w:hAnsiTheme="majorHAnsi" w:cs="Arial"/>
              <w:sz w:val="20"/>
              <w:szCs w:val="20"/>
            </w:rPr>
            <w:t xml:space="preserve">he lending function of a bank, </w:t>
          </w:r>
          <w:r w:rsidR="00FD4A6D">
            <w:rPr>
              <w:rFonts w:asciiTheme="majorHAnsi" w:hAnsiTheme="majorHAnsi" w:cs="Arial"/>
              <w:sz w:val="20"/>
              <w:szCs w:val="20"/>
            </w:rPr>
            <w:t>and it is our goal to increase coverage of how the lending process works.  In a review of other University banking programs and discussions with other banking program Directors and Chairs, it was found that most University Banking Programs have three dedicated courses to the cover</w:t>
          </w:r>
          <w:r w:rsidR="00264AFE">
            <w:rPr>
              <w:rFonts w:asciiTheme="majorHAnsi" w:hAnsiTheme="majorHAnsi" w:cs="Arial"/>
              <w:sz w:val="20"/>
              <w:szCs w:val="20"/>
            </w:rPr>
            <w:t>age of Commer</w:t>
          </w:r>
          <w:r w:rsidR="00FD4A6D">
            <w:rPr>
              <w:rFonts w:asciiTheme="majorHAnsi" w:hAnsiTheme="majorHAnsi" w:cs="Arial"/>
              <w:sz w:val="20"/>
              <w:szCs w:val="20"/>
            </w:rPr>
            <w:t>c</w:t>
          </w:r>
          <w:r w:rsidR="00264AFE">
            <w:rPr>
              <w:rFonts w:asciiTheme="majorHAnsi" w:hAnsiTheme="majorHAnsi" w:cs="Arial"/>
              <w:sz w:val="20"/>
              <w:szCs w:val="20"/>
            </w:rPr>
            <w:t>i</w:t>
          </w:r>
          <w:r w:rsidR="00FD4A6D">
            <w:rPr>
              <w:rFonts w:asciiTheme="majorHAnsi" w:hAnsiTheme="majorHAnsi" w:cs="Arial"/>
              <w:sz w:val="20"/>
              <w:szCs w:val="20"/>
            </w:rPr>
            <w:t>al Banking.  One of those classes is dedicated to Commercial Lending, and all of the courses are required for the major.  The Risk Management Association has a Banking Group annual meeting for Chairs and Program Directors to discuss best pra</w:t>
          </w:r>
          <w:r w:rsidR="00264AFE">
            <w:rPr>
              <w:rFonts w:asciiTheme="majorHAnsi" w:hAnsiTheme="majorHAnsi" w:cs="Arial"/>
              <w:sz w:val="20"/>
              <w:szCs w:val="20"/>
            </w:rPr>
            <w:t>ctices for University Commer</w:t>
          </w:r>
          <w:r w:rsidR="00FD4A6D">
            <w:rPr>
              <w:rFonts w:asciiTheme="majorHAnsi" w:hAnsiTheme="majorHAnsi" w:cs="Arial"/>
              <w:sz w:val="20"/>
              <w:szCs w:val="20"/>
            </w:rPr>
            <w:t>c</w:t>
          </w:r>
          <w:r w:rsidR="00264AFE">
            <w:rPr>
              <w:rFonts w:asciiTheme="majorHAnsi" w:hAnsiTheme="majorHAnsi" w:cs="Arial"/>
              <w:sz w:val="20"/>
              <w:szCs w:val="20"/>
            </w:rPr>
            <w:t>i</w:t>
          </w:r>
          <w:r w:rsidR="00FD4A6D">
            <w:rPr>
              <w:rFonts w:asciiTheme="majorHAnsi" w:hAnsiTheme="majorHAnsi" w:cs="Arial"/>
              <w:sz w:val="20"/>
              <w:szCs w:val="20"/>
            </w:rPr>
            <w:t xml:space="preserve">al Banking Programs. Other Program Directors suggested that it would be very difficult to cover all of the needed material in only two courses. They suggested that if a program has only two courses, they should strongly consider adding the third class. A meeting with leaders in the Commercial Banking industry in Arkansas also suggested that we add a dedicated Commercial Lending course. The proposed course will use the Commercial Lending materials provided by the Risk Management Association (RMA), and the students will have the opportunity to take the Credit Essential Certification test. The RMA created this certification for college students in University Banking Programs.  The additional coverage of commercial lending and the opportunity to earn the Credit Essential Certification will enhance our graduates' career opportunities.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6F991C83"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FD4A6D">
            <w:rPr>
              <w:rFonts w:asciiTheme="majorHAnsi" w:hAnsiTheme="majorHAnsi" w:cs="Arial"/>
              <w:sz w:val="20"/>
              <w:szCs w:val="20"/>
            </w:rPr>
            <w:t>The course strengthens the Finance – Banking emphasis program and adds another option for students who want to learn more about the commercial lending process.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1A7BE0E7" w:rsidR="00CA269E" w:rsidRPr="008426D1" w:rsidRDefault="00FD4A6D"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Finance – Banking emphasis majors. Other students that have completed Business Finance, FIN 3713 or equivalent, are welcome to take the course as an elective. Finance – Financial Management emphasis students can choose the course as one of the required Finance electives.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3FCDFB07" w:rsidR="00CA269E" w:rsidRPr="008426D1" w:rsidRDefault="00FD4A6D"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Upper level –Prerequisite FIN 3713, Business Finance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AB3CD64"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673824">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6A1BEE13"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w:t>
      </w:r>
      <w:r w:rsidR="00FD4A6D">
        <w:rPr>
          <w:rFonts w:asciiTheme="majorHAnsi" w:hAnsiTheme="majorHAnsi" w:cs="Arial"/>
          <w:b/>
          <w:szCs w:val="20"/>
          <w:highlight w:val="yellow"/>
        </w:rPr>
        <w:t>"</w:t>
      </w:r>
      <w:r w:rsidR="00C42E21" w:rsidRPr="00C42E21">
        <w:rPr>
          <w:rFonts w:asciiTheme="majorHAnsi" w:hAnsiTheme="majorHAnsi" w:cs="Arial"/>
          <w:b/>
          <w:szCs w:val="20"/>
          <w:highlight w:val="yellow"/>
        </w:rPr>
        <w:t>Yes</w:t>
      </w:r>
      <w:r w:rsidR="00FD4A6D">
        <w:rPr>
          <w:rFonts w:asciiTheme="majorHAnsi" w:hAnsiTheme="majorHAnsi" w:cs="Arial"/>
          <w:b/>
          <w:szCs w:val="20"/>
          <w:highlight w:val="yellow"/>
        </w:rPr>
        <w:t>"</w:t>
      </w:r>
      <w:r w:rsidR="00C42E21" w:rsidRPr="00C42E21">
        <w:rPr>
          <w:rFonts w:asciiTheme="majorHAnsi" w:hAnsiTheme="majorHAnsi" w:cs="Arial"/>
          <w:b/>
          <w:szCs w:val="20"/>
          <w:highlight w:val="yellow"/>
        </w:rPr>
        <w:t>)</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39130C47" w14:textId="77777777" w:rsidR="00523C68" w:rsidRDefault="00523C6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BS Finance, Emphasis Banking Outcomes</w:t>
          </w:r>
        </w:p>
        <w:p w14:paraId="77964C95" w14:textId="601A0E4F" w:rsidR="00547433" w:rsidRPr="008426D1" w:rsidRDefault="00523C6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Outcome #4 Project cash flows associated with corporate project evaluation</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3DEDA829"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to show how and where this course fits into the program</w:t>
      </w:r>
      <w:r w:rsidR="00FD4A6D">
        <w:rPr>
          <w:rFonts w:asciiTheme="majorHAnsi" w:hAnsiTheme="majorHAnsi" w:cs="Arial"/>
          <w:sz w:val="20"/>
          <w:szCs w:val="20"/>
        </w:rPr>
        <w:t>'</w:t>
      </w:r>
      <w:r w:rsidR="00575870" w:rsidRPr="0030740C">
        <w:rPr>
          <w:rFonts w:asciiTheme="majorHAnsi" w:hAnsiTheme="majorHAnsi" w:cs="Arial"/>
          <w:sz w:val="20"/>
          <w:szCs w:val="20"/>
        </w:rPr>
        <w:t xml:space="preserve">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60D3ED73"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sidR="00FD4A6D">
        <w:rPr>
          <w:rFonts w:asciiTheme="majorHAnsi" w:hAnsiTheme="majorHAnsi"/>
          <w:i/>
          <w:sz w:val="20"/>
          <w:szCs w:val="20"/>
        </w:rPr>
        <w:t>'</w:t>
      </w:r>
      <w:r w:rsidRPr="009053D1">
        <w:rPr>
          <w:rFonts w:asciiTheme="majorHAnsi" w:hAnsiTheme="majorHAnsi"/>
          <w:i/>
          <w:sz w:val="20"/>
          <w:szCs w:val="20"/>
        </w:rPr>
        <w:t>Expanded Instructions</w:t>
      </w:r>
      <w:r w:rsidR="00FD4A6D">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4BF0C801" w:rsidR="00F7007D" w:rsidRPr="00575870" w:rsidRDefault="00575870" w:rsidP="00523C68">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 xml:space="preserve">Outcome </w:t>
            </w:r>
            <w:r w:rsidR="00523C68">
              <w:rPr>
                <w:rFonts w:asciiTheme="majorHAnsi" w:hAnsiTheme="majorHAnsi"/>
                <w:b/>
                <w:sz w:val="20"/>
                <w:szCs w:val="20"/>
              </w:rPr>
              <w:t>4</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300C9B39" w14:textId="61D43177" w:rsidR="00F7007D" w:rsidRPr="002B453A" w:rsidRDefault="00523C68" w:rsidP="00523C68">
                <w:pPr>
                  <w:rPr>
                    <w:rFonts w:asciiTheme="majorHAnsi" w:hAnsiTheme="majorHAnsi"/>
                    <w:sz w:val="20"/>
                    <w:szCs w:val="20"/>
                  </w:rPr>
                </w:pPr>
                <w:r>
                  <w:rPr>
                    <w:rFonts w:asciiTheme="majorHAnsi" w:hAnsiTheme="majorHAnsi" w:cs="Arial"/>
                    <w:sz w:val="20"/>
                    <w:szCs w:val="20"/>
                  </w:rPr>
                  <w:t>Project cash flows associated with corporate project evaluation</w:t>
                </w:r>
                <w:r>
                  <w:rPr>
                    <w:rFonts w:asciiTheme="majorHAnsi" w:hAnsiTheme="majorHAnsi"/>
                    <w:sz w:val="20"/>
                    <w:szCs w:val="20"/>
                  </w:rPr>
                  <w:t xml:space="preserve"> </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commentRangeStart w:id="0"/>
        <w:tc>
          <w:tcPr>
            <w:tcW w:w="7428" w:type="dxa"/>
          </w:tcPr>
          <w:p w14:paraId="4F8A8040" w14:textId="6A23B5B6" w:rsidR="00F7007D" w:rsidRPr="002B453A" w:rsidRDefault="00AB0811" w:rsidP="00523C68">
            <w:pPr>
              <w:rPr>
                <w:rFonts w:asciiTheme="majorHAnsi" w:hAnsiTheme="majorHAnsi"/>
                <w:sz w:val="20"/>
                <w:szCs w:val="20"/>
              </w:rPr>
            </w:pPr>
            <w:sdt>
              <w:sdtPr>
                <w:rPr>
                  <w:rFonts w:asciiTheme="majorHAnsi" w:hAnsiTheme="majorHAnsi"/>
                  <w:sz w:val="20"/>
                  <w:szCs w:val="20"/>
                </w:rPr>
                <w:id w:val="-1294900252"/>
                <w:text/>
              </w:sdtPr>
              <w:sdtEndPr/>
              <w:sdtContent>
                <w:r w:rsidR="00523C68">
                  <w:rPr>
                    <w:rFonts w:asciiTheme="majorHAnsi" w:hAnsiTheme="majorHAnsi"/>
                    <w:sz w:val="20"/>
                    <w:szCs w:val="20"/>
                  </w:rPr>
                  <w:t xml:space="preserve">Test Questions in FIN 4723 Investments </w:t>
                </w:r>
              </w:sdtContent>
            </w:sdt>
            <w:r w:rsidR="00F7007D" w:rsidRPr="002B453A">
              <w:rPr>
                <w:rFonts w:asciiTheme="majorHAnsi" w:hAnsiTheme="majorHAnsi"/>
                <w:sz w:val="20"/>
                <w:szCs w:val="20"/>
              </w:rPr>
              <w:t xml:space="preserve"> </w:t>
            </w:r>
            <w:commentRangeEnd w:id="0"/>
            <w:r w:rsidR="00D03888">
              <w:rPr>
                <w:rStyle w:val="CommentReference"/>
              </w:rPr>
              <w:commentReference w:id="0"/>
            </w:r>
            <w:r w:rsidR="006801AE">
              <w:rPr>
                <w:rFonts w:asciiTheme="majorHAnsi" w:hAnsiTheme="majorHAnsi"/>
                <w:sz w:val="20"/>
                <w:szCs w:val="20"/>
              </w:rPr>
              <w:t>and Major Field Test</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78A239EC" w:rsidR="00F7007D" w:rsidRPr="002B453A" w:rsidRDefault="00523C68" w:rsidP="00523C68">
                <w:pPr>
                  <w:rPr>
                    <w:rFonts w:asciiTheme="majorHAnsi" w:hAnsiTheme="majorHAnsi"/>
                    <w:sz w:val="20"/>
                    <w:szCs w:val="20"/>
                  </w:rPr>
                </w:pPr>
                <w:r>
                  <w:rPr>
                    <w:rFonts w:asciiTheme="majorHAnsi" w:hAnsiTheme="majorHAnsi"/>
                    <w:sz w:val="20"/>
                    <w:szCs w:val="20"/>
                  </w:rPr>
                  <w:t>Every three years</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94FA895" w:rsidR="00F7007D" w:rsidRPr="00212A84" w:rsidRDefault="00523C68" w:rsidP="00523C68">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Finance Faculty</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tc>
          <w:tcPr>
            <w:tcW w:w="7428" w:type="dxa"/>
          </w:tcPr>
          <w:p w14:paraId="21D2C9A5" w14:textId="7E36C2AC" w:rsidR="00575870" w:rsidRPr="002B453A" w:rsidRDefault="00575870" w:rsidP="00575870">
            <w:pPr>
              <w:rPr>
                <w:rFonts w:asciiTheme="majorHAnsi" w:hAnsiTheme="majorHAnsi"/>
                <w:sz w:val="20"/>
                <w:szCs w:val="20"/>
              </w:rPr>
            </w:pPr>
          </w:p>
        </w:tc>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981044802"/>
              </w:sdtPr>
              <w:sdtEndPr/>
              <w:sdtContent>
                <w:sdt>
                  <w:sdtPr>
                    <w:rPr>
                      <w:rFonts w:asciiTheme="majorHAnsi" w:hAnsiTheme="majorHAnsi"/>
                      <w:sz w:val="20"/>
                      <w:szCs w:val="20"/>
                    </w:rPr>
                    <w:id w:val="1174921294"/>
                  </w:sdtPr>
                  <w:sdtEndPr/>
                  <w:sdtContent>
                    <w:tc>
                      <w:tcPr>
                        <w:tcW w:w="7428" w:type="dxa"/>
                      </w:tcPr>
                      <w:p w14:paraId="10A7F5A8" w14:textId="2C4DAD09" w:rsidR="00575870" w:rsidRPr="002B453A" w:rsidRDefault="00523C68" w:rsidP="00575870">
                        <w:pPr>
                          <w:rPr>
                            <w:rFonts w:asciiTheme="majorHAnsi" w:hAnsiTheme="majorHAnsi"/>
                            <w:sz w:val="20"/>
                            <w:szCs w:val="20"/>
                          </w:rPr>
                        </w:pPr>
                        <w:r>
                          <w:rPr>
                            <w:rFonts w:asciiTheme="majorHAnsi" w:hAnsiTheme="majorHAnsi"/>
                            <w:sz w:val="20"/>
                            <w:szCs w:val="20"/>
                          </w:rPr>
                          <w:t>Analyze a commercial loan application including cash flows and make a decision to make or deny a loan</w:t>
                        </w:r>
                      </w:p>
                    </w:tc>
                  </w:sdtContent>
                </w:sdt>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9DEC2CF" w:rsidR="00CB2125" w:rsidRPr="002B453A" w:rsidRDefault="00AB0811" w:rsidP="00523C68">
            <w:pPr>
              <w:rPr>
                <w:rFonts w:asciiTheme="majorHAnsi" w:hAnsiTheme="majorHAnsi"/>
                <w:sz w:val="20"/>
                <w:szCs w:val="20"/>
              </w:rPr>
            </w:pPr>
            <w:sdt>
              <w:sdtPr>
                <w:rPr>
                  <w:rFonts w:ascii="Cambria" w:hAnsi="Cambria"/>
                  <w:sz w:val="20"/>
                  <w:szCs w:val="20"/>
                </w:rPr>
                <w:id w:val="-938209012"/>
                <w:text/>
              </w:sdtPr>
              <w:sdtEndPr/>
              <w:sdtContent>
                <w:r w:rsidR="00523C68">
                  <w:rPr>
                    <w:rFonts w:ascii="Cambria" w:hAnsi="Cambria"/>
                    <w:sz w:val="20"/>
                    <w:szCs w:val="20"/>
                  </w:rPr>
                  <w:t>Presentation Rubric, present loan application and analysis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1E7F944E" w:rsidR="00D3680D" w:rsidRPr="00C102EC" w:rsidRDefault="00D3680D" w:rsidP="00264AFE">
      <w:pPr>
        <w:tabs>
          <w:tab w:val="left" w:pos="360"/>
          <w:tab w:val="left" w:pos="720"/>
        </w:tabs>
        <w:spacing w:after="0" w:line="240" w:lineRule="auto"/>
        <w:rPr>
          <w:rFonts w:asciiTheme="majorHAnsi" w:hAnsiTheme="majorHAnsi" w:cs="Arial"/>
          <w:b/>
          <w:color w:val="FF0000"/>
          <w:szCs w:val="18"/>
        </w:rPr>
      </w:pPr>
      <w:r w:rsidRPr="00341B0D">
        <w:rPr>
          <w:rFonts w:asciiTheme="majorHAnsi" w:hAnsiTheme="majorHAnsi"/>
          <w:b/>
          <w:i/>
          <w:color w:val="FF0000"/>
          <w:szCs w:val="18"/>
        </w:rPr>
        <w:br/>
      </w:r>
      <w:r w:rsidR="00264AFE" w:rsidRPr="00C102EC">
        <w:rPr>
          <w:rFonts w:asciiTheme="majorHAnsi" w:hAnsiTheme="majorHAnsi" w:cs="Arial"/>
          <w:b/>
          <w:szCs w:val="18"/>
        </w:rPr>
        <w:t xml:space="preserve">Pg. </w:t>
      </w:r>
      <w:r w:rsidR="00C102EC" w:rsidRPr="00C102EC">
        <w:rPr>
          <w:rFonts w:asciiTheme="majorHAnsi" w:hAnsiTheme="majorHAnsi" w:cs="Arial"/>
          <w:b/>
          <w:szCs w:val="18"/>
        </w:rPr>
        <w:t>487</w:t>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0826FA61" w14:textId="1D6C809E" w:rsidR="00523C68" w:rsidRDefault="00523C68" w:rsidP="00523C68">
          <w:pPr>
            <w:tabs>
              <w:tab w:val="left" w:pos="360"/>
              <w:tab w:val="left" w:pos="720"/>
            </w:tabs>
            <w:spacing w:after="0" w:line="240" w:lineRule="auto"/>
            <w:rPr>
              <w:rFonts w:asciiTheme="majorHAnsi" w:hAnsiTheme="majorHAnsi" w:cs="Arial"/>
              <w:sz w:val="20"/>
              <w:szCs w:val="20"/>
            </w:rPr>
          </w:pPr>
          <w:r w:rsidRPr="00523C68">
            <w:rPr>
              <w:rFonts w:asciiTheme="majorHAnsi" w:hAnsiTheme="majorHAnsi" w:cs="Arial"/>
              <w:sz w:val="20"/>
              <w:szCs w:val="20"/>
            </w:rPr>
            <w:t>FIN 4013. Financial Wealth Management The application of financial planning topics to realistic</w:t>
          </w:r>
          <w:r w:rsidR="00264AFE">
            <w:rPr>
              <w:rFonts w:asciiTheme="majorHAnsi" w:hAnsiTheme="majorHAnsi" w:cs="Arial"/>
              <w:sz w:val="20"/>
              <w:szCs w:val="20"/>
            </w:rPr>
            <w:t xml:space="preserve"> </w:t>
          </w:r>
          <w:r w:rsidRPr="00523C68">
            <w:rPr>
              <w:rFonts w:asciiTheme="majorHAnsi" w:hAnsiTheme="majorHAnsi" w:cs="Arial"/>
              <w:sz w:val="20"/>
              <w:szCs w:val="20"/>
            </w:rPr>
            <w:t>scenarios and case studies involving personal and small business financial planning. Prerequisite,</w:t>
          </w:r>
          <w:r w:rsidR="00264AFE">
            <w:rPr>
              <w:rFonts w:asciiTheme="majorHAnsi" w:hAnsiTheme="majorHAnsi" w:cs="Arial"/>
              <w:sz w:val="20"/>
              <w:szCs w:val="20"/>
            </w:rPr>
            <w:t xml:space="preserve"> </w:t>
          </w:r>
          <w:r w:rsidRPr="00523C68">
            <w:rPr>
              <w:rFonts w:asciiTheme="majorHAnsi" w:hAnsiTheme="majorHAnsi" w:cs="Arial"/>
              <w:sz w:val="20"/>
              <w:szCs w:val="20"/>
            </w:rPr>
            <w:t>FIN 4723. Spring.</w:t>
          </w:r>
        </w:p>
        <w:p w14:paraId="076FF5CE" w14:textId="77777777" w:rsidR="00264AFE" w:rsidRPr="00523C68" w:rsidRDefault="00264AFE" w:rsidP="00523C68">
          <w:pPr>
            <w:tabs>
              <w:tab w:val="left" w:pos="360"/>
              <w:tab w:val="left" w:pos="720"/>
            </w:tabs>
            <w:spacing w:after="0" w:line="240" w:lineRule="auto"/>
            <w:rPr>
              <w:rFonts w:asciiTheme="majorHAnsi" w:hAnsiTheme="majorHAnsi" w:cs="Arial"/>
              <w:sz w:val="20"/>
              <w:szCs w:val="20"/>
            </w:rPr>
          </w:pPr>
        </w:p>
        <w:p w14:paraId="49D7562D" w14:textId="1E722D7E" w:rsidR="00523C68" w:rsidRDefault="00523C68" w:rsidP="00523C68">
          <w:pPr>
            <w:tabs>
              <w:tab w:val="left" w:pos="360"/>
              <w:tab w:val="left" w:pos="720"/>
            </w:tabs>
            <w:spacing w:after="0" w:line="240" w:lineRule="auto"/>
            <w:rPr>
              <w:rFonts w:asciiTheme="majorHAnsi" w:hAnsiTheme="majorHAnsi" w:cs="Arial"/>
              <w:sz w:val="20"/>
              <w:szCs w:val="20"/>
            </w:rPr>
          </w:pPr>
          <w:r w:rsidRPr="00523C68">
            <w:rPr>
              <w:rFonts w:asciiTheme="majorHAnsi" w:hAnsiTheme="majorHAnsi" w:cs="Arial"/>
              <w:sz w:val="20"/>
              <w:szCs w:val="20"/>
            </w:rPr>
            <w:t>FIN 4293. New Venture Financing Introduction to the dynamic challenges facing new business ventures in securing financial backing to support growth and development. Venture capital,</w:t>
          </w:r>
          <w:r w:rsidR="00264AFE">
            <w:rPr>
              <w:rFonts w:asciiTheme="majorHAnsi" w:hAnsiTheme="majorHAnsi" w:cs="Arial"/>
              <w:sz w:val="20"/>
              <w:szCs w:val="20"/>
            </w:rPr>
            <w:t xml:space="preserve"> </w:t>
          </w:r>
          <w:r w:rsidRPr="00523C68">
            <w:rPr>
              <w:rFonts w:asciiTheme="majorHAnsi" w:hAnsiTheme="majorHAnsi" w:cs="Arial"/>
              <w:sz w:val="20"/>
              <w:szCs w:val="20"/>
            </w:rPr>
            <w:t>internally generated funding and external sources of funding will be discussed along with debt and</w:t>
          </w:r>
          <w:r w:rsidR="00264AFE">
            <w:rPr>
              <w:rFonts w:asciiTheme="majorHAnsi" w:hAnsiTheme="majorHAnsi" w:cs="Arial"/>
              <w:sz w:val="20"/>
              <w:szCs w:val="20"/>
            </w:rPr>
            <w:t xml:space="preserve"> </w:t>
          </w:r>
          <w:r w:rsidRPr="00523C68">
            <w:rPr>
              <w:rFonts w:asciiTheme="majorHAnsi" w:hAnsiTheme="majorHAnsi" w:cs="Arial"/>
              <w:sz w:val="20"/>
              <w:szCs w:val="20"/>
            </w:rPr>
            <w:t>equity financing. Irregular.</w:t>
          </w:r>
        </w:p>
        <w:p w14:paraId="66741E38" w14:textId="77777777" w:rsidR="00523C68" w:rsidRDefault="00523C68" w:rsidP="00523C68">
          <w:pPr>
            <w:tabs>
              <w:tab w:val="left" w:pos="360"/>
              <w:tab w:val="left" w:pos="720"/>
            </w:tabs>
            <w:spacing w:after="0" w:line="240" w:lineRule="auto"/>
            <w:rPr>
              <w:rFonts w:asciiTheme="majorHAnsi" w:hAnsiTheme="majorHAnsi" w:cs="Arial"/>
              <w:color w:val="FF0000"/>
              <w:sz w:val="20"/>
              <w:szCs w:val="20"/>
            </w:rPr>
          </w:pPr>
        </w:p>
        <w:p w14:paraId="000E4328" w14:textId="1334A76B" w:rsidR="00523C68" w:rsidRDefault="00523C68" w:rsidP="00523C68">
          <w:pPr>
            <w:tabs>
              <w:tab w:val="left" w:pos="360"/>
              <w:tab w:val="left" w:pos="720"/>
            </w:tabs>
            <w:spacing w:after="0" w:line="240" w:lineRule="auto"/>
            <w:rPr>
              <w:rFonts w:asciiTheme="majorHAnsi" w:hAnsiTheme="majorHAnsi" w:cs="Arial"/>
              <w:color w:val="FF0000"/>
              <w:sz w:val="20"/>
              <w:szCs w:val="20"/>
            </w:rPr>
          </w:pPr>
          <w:commentRangeStart w:id="1"/>
          <w:r>
            <w:rPr>
              <w:rFonts w:asciiTheme="majorHAnsi" w:hAnsiTheme="majorHAnsi" w:cs="Arial"/>
              <w:color w:val="FF0000"/>
              <w:sz w:val="20"/>
              <w:szCs w:val="20"/>
            </w:rPr>
            <w:t xml:space="preserve">FIN 4613 </w:t>
          </w:r>
          <w:commentRangeEnd w:id="1"/>
          <w:r w:rsidR="00C102EC">
            <w:rPr>
              <w:rStyle w:val="CommentReference"/>
            </w:rPr>
            <w:commentReference w:id="1"/>
          </w:r>
          <w:r w:rsidR="00126FB7">
            <w:rPr>
              <w:rFonts w:asciiTheme="majorHAnsi" w:hAnsiTheme="majorHAnsi" w:cs="Arial"/>
              <w:color w:val="FF0000"/>
              <w:sz w:val="20"/>
              <w:szCs w:val="20"/>
            </w:rPr>
            <w:t xml:space="preserve">Commercial Credit </w:t>
          </w:r>
          <w:proofErr w:type="gramStart"/>
          <w:r w:rsidR="00126FB7">
            <w:rPr>
              <w:rFonts w:asciiTheme="majorHAnsi" w:hAnsiTheme="majorHAnsi" w:cs="Arial"/>
              <w:color w:val="FF0000"/>
              <w:sz w:val="20"/>
              <w:szCs w:val="20"/>
            </w:rPr>
            <w:t xml:space="preserve">Analysis  </w:t>
          </w:r>
          <w:r w:rsidRPr="00523C68">
            <w:rPr>
              <w:rFonts w:asciiTheme="majorHAnsi" w:hAnsiTheme="majorHAnsi" w:cs="Arial"/>
              <w:color w:val="FF0000"/>
              <w:sz w:val="20"/>
              <w:szCs w:val="20"/>
            </w:rPr>
            <w:t>An</w:t>
          </w:r>
          <w:proofErr w:type="gramEnd"/>
          <w:r w:rsidRPr="00523C68">
            <w:rPr>
              <w:rFonts w:asciiTheme="majorHAnsi" w:hAnsiTheme="majorHAnsi" w:cs="Arial"/>
              <w:color w:val="FF0000"/>
              <w:sz w:val="20"/>
              <w:szCs w:val="20"/>
            </w:rPr>
            <w:t xml:space="preserve"> in-depth study of the lending process for a Commercial Bank. Topics covered include loan structuring, analysis of commercial and consumer loan applications, analysis of financial statements and tax returns needed to make a lending decision, and detecting problem loans</w:t>
          </w:r>
          <w:r w:rsidRPr="00126FB7">
            <w:rPr>
              <w:rFonts w:asciiTheme="majorHAnsi" w:hAnsiTheme="majorHAnsi" w:cs="Arial"/>
              <w:color w:val="FF0000"/>
              <w:sz w:val="20"/>
              <w:szCs w:val="20"/>
            </w:rPr>
            <w:t>.</w:t>
          </w:r>
          <w:r w:rsidR="00C102EC" w:rsidRPr="00126FB7">
            <w:rPr>
              <w:rFonts w:asciiTheme="majorHAnsi" w:hAnsiTheme="majorHAnsi" w:cs="Arial"/>
              <w:color w:val="FF0000"/>
              <w:sz w:val="20"/>
              <w:szCs w:val="20"/>
            </w:rPr>
            <w:t xml:space="preserve"> </w:t>
          </w:r>
          <w:r w:rsidR="00126FB7" w:rsidRPr="00126FB7">
            <w:rPr>
              <w:rFonts w:asciiTheme="majorHAnsi" w:hAnsiTheme="majorHAnsi" w:cs="Arial"/>
              <w:color w:val="FF0000"/>
              <w:sz w:val="20"/>
              <w:szCs w:val="20"/>
            </w:rPr>
            <w:t>Prerequisite, FIN 4723. Spring.</w:t>
          </w:r>
        </w:p>
        <w:p w14:paraId="20E172DA" w14:textId="77777777" w:rsidR="00523C68" w:rsidRPr="00523C68" w:rsidRDefault="00523C68" w:rsidP="00523C68">
          <w:pPr>
            <w:tabs>
              <w:tab w:val="left" w:pos="360"/>
              <w:tab w:val="left" w:pos="720"/>
            </w:tabs>
            <w:spacing w:after="0" w:line="240" w:lineRule="auto"/>
            <w:rPr>
              <w:rFonts w:asciiTheme="majorHAnsi" w:hAnsiTheme="majorHAnsi" w:cs="Arial"/>
              <w:color w:val="FF0000"/>
              <w:sz w:val="20"/>
              <w:szCs w:val="20"/>
            </w:rPr>
          </w:pPr>
        </w:p>
        <w:p w14:paraId="0DC23EA6" w14:textId="794BAA42" w:rsidR="00523C68" w:rsidRDefault="00523C68" w:rsidP="00523C68">
          <w:pPr>
            <w:tabs>
              <w:tab w:val="left" w:pos="360"/>
              <w:tab w:val="left" w:pos="720"/>
            </w:tabs>
            <w:spacing w:after="0" w:line="240" w:lineRule="auto"/>
            <w:rPr>
              <w:rFonts w:asciiTheme="majorHAnsi" w:hAnsiTheme="majorHAnsi" w:cs="Arial"/>
              <w:sz w:val="20"/>
              <w:szCs w:val="20"/>
            </w:rPr>
          </w:pPr>
          <w:r w:rsidRPr="00523C68">
            <w:rPr>
              <w:rFonts w:asciiTheme="majorHAnsi" w:hAnsiTheme="majorHAnsi" w:cs="Arial"/>
              <w:sz w:val="20"/>
              <w:szCs w:val="20"/>
            </w:rPr>
            <w:t>FIN 4723. Investments Security investment, the tools of investment analysis, the formulation of</w:t>
          </w:r>
          <w:r w:rsidR="00264AFE">
            <w:rPr>
              <w:rFonts w:asciiTheme="majorHAnsi" w:hAnsiTheme="majorHAnsi" w:cs="Arial"/>
              <w:sz w:val="20"/>
              <w:szCs w:val="20"/>
            </w:rPr>
            <w:t xml:space="preserve"> </w:t>
          </w:r>
          <w:r w:rsidRPr="00523C68">
            <w:rPr>
              <w:rFonts w:asciiTheme="majorHAnsi" w:hAnsiTheme="majorHAnsi" w:cs="Arial"/>
              <w:sz w:val="20"/>
              <w:szCs w:val="20"/>
            </w:rPr>
            <w:t>inv</w:t>
          </w:r>
          <w:bookmarkStart w:id="2" w:name="_GoBack"/>
          <w:bookmarkEnd w:id="2"/>
          <w:r w:rsidRPr="00523C68">
            <w:rPr>
              <w:rFonts w:asciiTheme="majorHAnsi" w:hAnsiTheme="majorHAnsi" w:cs="Arial"/>
              <w:sz w:val="20"/>
              <w:szCs w:val="20"/>
            </w:rPr>
            <w:t>estment policy and the role of the individual investor in the economy. Prerequisites, ECON 2113</w:t>
          </w:r>
          <w:r w:rsidR="00264AFE">
            <w:rPr>
              <w:rFonts w:asciiTheme="majorHAnsi" w:hAnsiTheme="majorHAnsi" w:cs="Arial"/>
              <w:sz w:val="20"/>
              <w:szCs w:val="20"/>
            </w:rPr>
            <w:t xml:space="preserve"> </w:t>
          </w:r>
          <w:r w:rsidRPr="00523C68">
            <w:rPr>
              <w:rFonts w:asciiTheme="majorHAnsi" w:hAnsiTheme="majorHAnsi" w:cs="Arial"/>
              <w:sz w:val="20"/>
              <w:szCs w:val="20"/>
            </w:rPr>
            <w:t xml:space="preserve">or STAT 3233; and FIN 3713. Fall, </w:t>
          </w:r>
          <w:proofErr w:type="gramStart"/>
          <w:r w:rsidRPr="00523C68">
            <w:rPr>
              <w:rFonts w:asciiTheme="majorHAnsi" w:hAnsiTheme="majorHAnsi" w:cs="Arial"/>
              <w:sz w:val="20"/>
              <w:szCs w:val="20"/>
            </w:rPr>
            <w:t>Spring</w:t>
          </w:r>
          <w:proofErr w:type="gramEnd"/>
          <w:r w:rsidRPr="00523C68">
            <w:rPr>
              <w:rFonts w:asciiTheme="majorHAnsi" w:hAnsiTheme="majorHAnsi" w:cs="Arial"/>
              <w:sz w:val="20"/>
              <w:szCs w:val="20"/>
            </w:rPr>
            <w:t>.</w:t>
          </w:r>
        </w:p>
        <w:p w14:paraId="66CFA667" w14:textId="77777777" w:rsidR="00264AFE" w:rsidRPr="00523C68" w:rsidRDefault="00264AFE" w:rsidP="00523C68">
          <w:pPr>
            <w:tabs>
              <w:tab w:val="left" w:pos="360"/>
              <w:tab w:val="left" w:pos="720"/>
            </w:tabs>
            <w:spacing w:after="0" w:line="240" w:lineRule="auto"/>
            <w:rPr>
              <w:rFonts w:asciiTheme="majorHAnsi" w:hAnsiTheme="majorHAnsi" w:cs="Arial"/>
              <w:sz w:val="20"/>
              <w:szCs w:val="20"/>
            </w:rPr>
          </w:pPr>
        </w:p>
        <w:p w14:paraId="4CFABE05" w14:textId="135BDA5F" w:rsidR="00523C68" w:rsidRDefault="00523C68" w:rsidP="00523C68">
          <w:pPr>
            <w:tabs>
              <w:tab w:val="left" w:pos="360"/>
              <w:tab w:val="left" w:pos="720"/>
            </w:tabs>
            <w:spacing w:after="0" w:line="240" w:lineRule="auto"/>
            <w:rPr>
              <w:rFonts w:asciiTheme="majorHAnsi" w:hAnsiTheme="majorHAnsi" w:cs="Arial"/>
              <w:sz w:val="20"/>
              <w:szCs w:val="20"/>
            </w:rPr>
          </w:pPr>
          <w:r w:rsidRPr="00523C68">
            <w:rPr>
              <w:rFonts w:asciiTheme="majorHAnsi" w:hAnsiTheme="majorHAnsi" w:cs="Arial"/>
              <w:sz w:val="20"/>
              <w:szCs w:val="20"/>
            </w:rPr>
            <w:t>FIN 4743. Managerial Finance Emphasis on principles and tools for analysis and decision</w:t>
          </w:r>
          <w:r w:rsidR="00264AFE">
            <w:rPr>
              <w:rFonts w:asciiTheme="majorHAnsi" w:hAnsiTheme="majorHAnsi" w:cs="Arial"/>
              <w:sz w:val="20"/>
              <w:szCs w:val="20"/>
            </w:rPr>
            <w:t xml:space="preserve"> </w:t>
          </w:r>
          <w:r w:rsidRPr="00523C68">
            <w:rPr>
              <w:rFonts w:asciiTheme="majorHAnsi" w:hAnsiTheme="majorHAnsi" w:cs="Arial"/>
              <w:sz w:val="20"/>
              <w:szCs w:val="20"/>
            </w:rPr>
            <w:t>making in working capital management. Studies include cash flow forecasting, inventory model</w:t>
          </w:r>
          <w:r w:rsidR="00264AFE">
            <w:rPr>
              <w:rFonts w:asciiTheme="majorHAnsi" w:hAnsiTheme="majorHAnsi" w:cs="Arial"/>
              <w:sz w:val="20"/>
              <w:szCs w:val="20"/>
            </w:rPr>
            <w:t xml:space="preserve"> </w:t>
          </w:r>
          <w:r w:rsidRPr="00523C68">
            <w:rPr>
              <w:rFonts w:asciiTheme="majorHAnsi" w:hAnsiTheme="majorHAnsi" w:cs="Arial"/>
              <w:sz w:val="20"/>
              <w:szCs w:val="20"/>
            </w:rPr>
            <w:t>applications, sources and uses of funds analysis, trade credit policies, and techniques of short</w:t>
          </w:r>
          <w:r w:rsidR="00264AFE">
            <w:rPr>
              <w:rFonts w:asciiTheme="majorHAnsi" w:hAnsiTheme="majorHAnsi" w:cs="Arial"/>
              <w:sz w:val="20"/>
              <w:szCs w:val="20"/>
            </w:rPr>
            <w:t xml:space="preserve"> </w:t>
          </w:r>
          <w:r w:rsidRPr="00523C68">
            <w:rPr>
              <w:rFonts w:asciiTheme="majorHAnsi" w:hAnsiTheme="majorHAnsi" w:cs="Arial"/>
              <w:sz w:val="20"/>
              <w:szCs w:val="20"/>
            </w:rPr>
            <w:t>and intermediate term sales forecasting. Prerequisites, ECON 2113 or STAT 3233; and FIN 3713.</w:t>
          </w:r>
          <w:r w:rsidR="00264AFE">
            <w:rPr>
              <w:rFonts w:asciiTheme="majorHAnsi" w:hAnsiTheme="majorHAnsi" w:cs="Arial"/>
              <w:sz w:val="20"/>
              <w:szCs w:val="20"/>
            </w:rPr>
            <w:t xml:space="preserve"> </w:t>
          </w:r>
          <w:r w:rsidRPr="00523C68">
            <w:rPr>
              <w:rFonts w:asciiTheme="majorHAnsi" w:hAnsiTheme="majorHAnsi" w:cs="Arial"/>
              <w:sz w:val="20"/>
              <w:szCs w:val="20"/>
            </w:rPr>
            <w:t>Spring.</w:t>
          </w:r>
        </w:p>
        <w:p w14:paraId="45D537A4" w14:textId="77777777" w:rsidR="00264AFE" w:rsidRPr="00523C68" w:rsidRDefault="00264AFE" w:rsidP="00523C68">
          <w:pPr>
            <w:tabs>
              <w:tab w:val="left" w:pos="360"/>
              <w:tab w:val="left" w:pos="720"/>
            </w:tabs>
            <w:spacing w:after="0" w:line="240" w:lineRule="auto"/>
            <w:rPr>
              <w:rFonts w:asciiTheme="majorHAnsi" w:hAnsiTheme="majorHAnsi" w:cs="Arial"/>
              <w:sz w:val="20"/>
              <w:szCs w:val="20"/>
            </w:rPr>
          </w:pPr>
        </w:p>
        <w:p w14:paraId="27904317" w14:textId="2297081D" w:rsidR="00523C68" w:rsidRDefault="00523C68" w:rsidP="00523C68">
          <w:pPr>
            <w:tabs>
              <w:tab w:val="left" w:pos="360"/>
              <w:tab w:val="left" w:pos="720"/>
            </w:tabs>
            <w:spacing w:after="0" w:line="240" w:lineRule="auto"/>
            <w:rPr>
              <w:rFonts w:asciiTheme="majorHAnsi" w:hAnsiTheme="majorHAnsi" w:cs="Arial"/>
              <w:sz w:val="20"/>
              <w:szCs w:val="20"/>
            </w:rPr>
          </w:pPr>
          <w:r w:rsidRPr="00523C68">
            <w:rPr>
              <w:rFonts w:asciiTheme="majorHAnsi" w:hAnsiTheme="majorHAnsi" w:cs="Arial"/>
              <w:sz w:val="20"/>
              <w:szCs w:val="20"/>
            </w:rPr>
            <w:t>FIN 4753. Capital Management Analysis of the management aspects relating to the inflows and</w:t>
          </w:r>
          <w:r w:rsidR="00264AFE">
            <w:rPr>
              <w:rFonts w:asciiTheme="majorHAnsi" w:hAnsiTheme="majorHAnsi" w:cs="Arial"/>
              <w:sz w:val="20"/>
              <w:szCs w:val="20"/>
            </w:rPr>
            <w:t xml:space="preserve"> </w:t>
          </w:r>
          <w:r w:rsidRPr="00523C68">
            <w:rPr>
              <w:rFonts w:asciiTheme="majorHAnsi" w:hAnsiTheme="majorHAnsi" w:cs="Arial"/>
              <w:sz w:val="20"/>
              <w:szCs w:val="20"/>
            </w:rPr>
            <w:t>outflows of permanent capital in business enterprises. Examines the management of long-term</w:t>
          </w:r>
          <w:r w:rsidR="00264AFE">
            <w:rPr>
              <w:rFonts w:asciiTheme="majorHAnsi" w:hAnsiTheme="majorHAnsi" w:cs="Arial"/>
              <w:sz w:val="20"/>
              <w:szCs w:val="20"/>
            </w:rPr>
            <w:t xml:space="preserve"> </w:t>
          </w:r>
          <w:r w:rsidRPr="00523C68">
            <w:rPr>
              <w:rFonts w:asciiTheme="majorHAnsi" w:hAnsiTheme="majorHAnsi" w:cs="Arial"/>
              <w:sz w:val="20"/>
              <w:szCs w:val="20"/>
            </w:rPr>
            <w:t>assets, long-term credit, equity and internal financing. Corporate expansion including mergers,</w:t>
          </w:r>
          <w:r w:rsidR="00264AFE">
            <w:rPr>
              <w:rFonts w:asciiTheme="majorHAnsi" w:hAnsiTheme="majorHAnsi" w:cs="Arial"/>
              <w:sz w:val="20"/>
              <w:szCs w:val="20"/>
            </w:rPr>
            <w:t xml:space="preserve"> </w:t>
          </w:r>
          <w:r w:rsidRPr="00523C68">
            <w:rPr>
              <w:rFonts w:asciiTheme="majorHAnsi" w:hAnsiTheme="majorHAnsi" w:cs="Arial"/>
              <w:sz w:val="20"/>
              <w:szCs w:val="20"/>
            </w:rPr>
            <w:t>acquisitions, corporate reorganization, and bankruptcies. Prerequisites, ECON 2113 or STAT 3233,</w:t>
          </w:r>
          <w:r w:rsidR="00264AFE">
            <w:rPr>
              <w:rFonts w:asciiTheme="majorHAnsi" w:hAnsiTheme="majorHAnsi" w:cs="Arial"/>
              <w:sz w:val="20"/>
              <w:szCs w:val="20"/>
            </w:rPr>
            <w:t xml:space="preserve"> </w:t>
          </w:r>
          <w:r w:rsidRPr="00523C68">
            <w:rPr>
              <w:rFonts w:asciiTheme="majorHAnsi" w:hAnsiTheme="majorHAnsi" w:cs="Arial"/>
              <w:sz w:val="20"/>
              <w:szCs w:val="20"/>
            </w:rPr>
            <w:t xml:space="preserve">and FIN 3713. Fall, </w:t>
          </w:r>
          <w:proofErr w:type="gramStart"/>
          <w:r w:rsidRPr="00523C68">
            <w:rPr>
              <w:rFonts w:asciiTheme="majorHAnsi" w:hAnsiTheme="majorHAnsi" w:cs="Arial"/>
              <w:sz w:val="20"/>
              <w:szCs w:val="20"/>
            </w:rPr>
            <w:t>Spring</w:t>
          </w:r>
          <w:proofErr w:type="gramEnd"/>
          <w:r w:rsidRPr="00523C68">
            <w:rPr>
              <w:rFonts w:asciiTheme="majorHAnsi" w:hAnsiTheme="majorHAnsi" w:cs="Arial"/>
              <w:sz w:val="20"/>
              <w:szCs w:val="20"/>
            </w:rPr>
            <w:t>.</w:t>
          </w:r>
        </w:p>
        <w:p w14:paraId="5CB9C09B" w14:textId="77777777" w:rsidR="00264AFE" w:rsidRPr="00523C68" w:rsidRDefault="00264AFE" w:rsidP="00523C68">
          <w:pPr>
            <w:tabs>
              <w:tab w:val="left" w:pos="360"/>
              <w:tab w:val="left" w:pos="720"/>
            </w:tabs>
            <w:spacing w:after="0" w:line="240" w:lineRule="auto"/>
            <w:rPr>
              <w:rFonts w:asciiTheme="majorHAnsi" w:hAnsiTheme="majorHAnsi" w:cs="Arial"/>
              <w:sz w:val="20"/>
              <w:szCs w:val="20"/>
            </w:rPr>
          </w:pPr>
        </w:p>
        <w:p w14:paraId="6A0C2672" w14:textId="05F0C29F" w:rsidR="00523C68" w:rsidRDefault="00523C68" w:rsidP="00523C68">
          <w:pPr>
            <w:tabs>
              <w:tab w:val="left" w:pos="360"/>
              <w:tab w:val="left" w:pos="720"/>
            </w:tabs>
            <w:spacing w:after="0" w:line="240" w:lineRule="auto"/>
            <w:rPr>
              <w:rFonts w:asciiTheme="majorHAnsi" w:hAnsiTheme="majorHAnsi" w:cs="Arial"/>
              <w:sz w:val="20"/>
              <w:szCs w:val="20"/>
            </w:rPr>
          </w:pPr>
          <w:r w:rsidRPr="00523C68">
            <w:rPr>
              <w:rFonts w:asciiTheme="majorHAnsi" w:hAnsiTheme="majorHAnsi" w:cs="Arial"/>
              <w:sz w:val="20"/>
              <w:szCs w:val="20"/>
            </w:rPr>
            <w:t>FIN 4763. Bank Management Principles used in the management of commercial banks, relating to loans, credit analysis, security portfolios, analysis and interpretations of Federal Reserve</w:t>
          </w:r>
          <w:r w:rsidR="00264AFE">
            <w:rPr>
              <w:rFonts w:asciiTheme="majorHAnsi" w:hAnsiTheme="majorHAnsi" w:cs="Arial"/>
              <w:sz w:val="20"/>
              <w:szCs w:val="20"/>
            </w:rPr>
            <w:t xml:space="preserve"> </w:t>
          </w:r>
          <w:r w:rsidRPr="00523C68">
            <w:rPr>
              <w:rFonts w:asciiTheme="majorHAnsi" w:hAnsiTheme="majorHAnsi" w:cs="Arial"/>
              <w:sz w:val="20"/>
              <w:szCs w:val="20"/>
            </w:rPr>
            <w:t>regulations and publications. Prerequisites, ECON 2313 and FIN 3713. Fall.</w:t>
          </w:r>
        </w:p>
        <w:p w14:paraId="00670F8E" w14:textId="77777777" w:rsidR="00264AFE" w:rsidRPr="00523C68" w:rsidRDefault="00264AFE" w:rsidP="00523C68">
          <w:pPr>
            <w:tabs>
              <w:tab w:val="left" w:pos="360"/>
              <w:tab w:val="left" w:pos="720"/>
            </w:tabs>
            <w:spacing w:after="0" w:line="240" w:lineRule="auto"/>
            <w:rPr>
              <w:rFonts w:asciiTheme="majorHAnsi" w:hAnsiTheme="majorHAnsi" w:cs="Arial"/>
              <w:sz w:val="20"/>
              <w:szCs w:val="20"/>
            </w:rPr>
          </w:pPr>
        </w:p>
        <w:p w14:paraId="462F2EB3" w14:textId="5834172C" w:rsidR="00523C68" w:rsidRPr="00523C68" w:rsidRDefault="00523C68" w:rsidP="00523C68">
          <w:pPr>
            <w:tabs>
              <w:tab w:val="left" w:pos="360"/>
              <w:tab w:val="left" w:pos="720"/>
            </w:tabs>
            <w:spacing w:after="0" w:line="240" w:lineRule="auto"/>
            <w:rPr>
              <w:rFonts w:asciiTheme="majorHAnsi" w:hAnsiTheme="majorHAnsi" w:cs="Arial"/>
              <w:sz w:val="20"/>
              <w:szCs w:val="20"/>
            </w:rPr>
          </w:pPr>
          <w:r w:rsidRPr="00523C68">
            <w:rPr>
              <w:rFonts w:asciiTheme="majorHAnsi" w:hAnsiTheme="majorHAnsi" w:cs="Arial"/>
              <w:sz w:val="20"/>
              <w:szCs w:val="20"/>
            </w:rPr>
            <w:t>FIN 4773. Advanced Bank Management Applications of financial management techniques to</w:t>
          </w:r>
          <w:r w:rsidR="00264AFE">
            <w:rPr>
              <w:rFonts w:asciiTheme="majorHAnsi" w:hAnsiTheme="majorHAnsi" w:cs="Arial"/>
              <w:sz w:val="20"/>
              <w:szCs w:val="20"/>
            </w:rPr>
            <w:t xml:space="preserve"> </w:t>
          </w:r>
          <w:r w:rsidRPr="00523C68">
            <w:rPr>
              <w:rFonts w:asciiTheme="majorHAnsi" w:hAnsiTheme="majorHAnsi" w:cs="Arial"/>
              <w:sz w:val="20"/>
              <w:szCs w:val="20"/>
            </w:rPr>
            <w:t>ban management decisions through experiential learning opportunities. Computer based analysis,</w:t>
          </w:r>
          <w:r w:rsidR="00264AFE">
            <w:rPr>
              <w:rFonts w:asciiTheme="majorHAnsi" w:hAnsiTheme="majorHAnsi" w:cs="Arial"/>
              <w:sz w:val="20"/>
              <w:szCs w:val="20"/>
            </w:rPr>
            <w:t xml:space="preserve"> </w:t>
          </w:r>
          <w:r w:rsidRPr="00523C68">
            <w:rPr>
              <w:rFonts w:asciiTheme="majorHAnsi" w:hAnsiTheme="majorHAnsi" w:cs="Arial"/>
              <w:sz w:val="20"/>
              <w:szCs w:val="20"/>
            </w:rPr>
            <w:t>simulations, and written and oral presentations. Prerequisite, FIN 4763. Spring.</w:t>
          </w:r>
        </w:p>
        <w:p w14:paraId="6169CB5C" w14:textId="77777777" w:rsidR="00264AFE" w:rsidRDefault="00264AFE" w:rsidP="00523C68">
          <w:pPr>
            <w:tabs>
              <w:tab w:val="left" w:pos="360"/>
              <w:tab w:val="left" w:pos="720"/>
            </w:tabs>
            <w:spacing w:after="0" w:line="240" w:lineRule="auto"/>
            <w:rPr>
              <w:rFonts w:asciiTheme="majorHAnsi" w:hAnsiTheme="majorHAnsi" w:cs="Arial"/>
              <w:sz w:val="20"/>
              <w:szCs w:val="20"/>
            </w:rPr>
          </w:pPr>
        </w:p>
        <w:p w14:paraId="6CCDBF5E" w14:textId="4216DC50" w:rsidR="00523C68" w:rsidRPr="00523C68" w:rsidRDefault="00523C68" w:rsidP="00523C68">
          <w:pPr>
            <w:tabs>
              <w:tab w:val="left" w:pos="360"/>
              <w:tab w:val="left" w:pos="720"/>
            </w:tabs>
            <w:spacing w:after="0" w:line="240" w:lineRule="auto"/>
            <w:rPr>
              <w:rFonts w:asciiTheme="majorHAnsi" w:hAnsiTheme="majorHAnsi" w:cs="Arial"/>
              <w:sz w:val="20"/>
              <w:szCs w:val="20"/>
            </w:rPr>
          </w:pPr>
          <w:r w:rsidRPr="00523C68">
            <w:rPr>
              <w:rFonts w:asciiTheme="majorHAnsi" w:hAnsiTheme="majorHAnsi" w:cs="Arial"/>
              <w:sz w:val="20"/>
              <w:szCs w:val="20"/>
            </w:rPr>
            <w:t>FIN 478V. Internship in Bank Management Supervised work experience with bank management</w:t>
          </w:r>
          <w:r w:rsidR="00264AFE">
            <w:rPr>
              <w:rFonts w:asciiTheme="majorHAnsi" w:hAnsiTheme="majorHAnsi" w:cs="Arial"/>
              <w:sz w:val="20"/>
              <w:szCs w:val="20"/>
            </w:rPr>
            <w:t xml:space="preserve"> </w:t>
          </w:r>
          <w:r w:rsidRPr="00523C68">
            <w:rPr>
              <w:rFonts w:asciiTheme="majorHAnsi" w:hAnsiTheme="majorHAnsi" w:cs="Arial"/>
              <w:sz w:val="20"/>
              <w:szCs w:val="20"/>
            </w:rPr>
            <w:t>in an appropriate banking environment. Prerequisites, FIN 3713, junior or senior standing, and</w:t>
          </w:r>
          <w:r w:rsidR="00264AFE">
            <w:rPr>
              <w:rFonts w:asciiTheme="majorHAnsi" w:hAnsiTheme="majorHAnsi" w:cs="Arial"/>
              <w:sz w:val="20"/>
              <w:szCs w:val="20"/>
            </w:rPr>
            <w:t xml:space="preserve"> </w:t>
          </w:r>
          <w:r w:rsidRPr="00523C68">
            <w:rPr>
              <w:rFonts w:asciiTheme="majorHAnsi" w:hAnsiTheme="majorHAnsi" w:cs="Arial"/>
              <w:sz w:val="20"/>
              <w:szCs w:val="20"/>
            </w:rPr>
            <w:t xml:space="preserve">instructor permission. Fall, </w:t>
          </w:r>
          <w:proofErr w:type="gramStart"/>
          <w:r w:rsidRPr="00523C68">
            <w:rPr>
              <w:rFonts w:asciiTheme="majorHAnsi" w:hAnsiTheme="majorHAnsi" w:cs="Arial"/>
              <w:sz w:val="20"/>
              <w:szCs w:val="20"/>
            </w:rPr>
            <w:t>Spring</w:t>
          </w:r>
          <w:proofErr w:type="gramEnd"/>
          <w:r w:rsidRPr="00523C68">
            <w:rPr>
              <w:rFonts w:asciiTheme="majorHAnsi" w:hAnsiTheme="majorHAnsi" w:cs="Arial"/>
              <w:sz w:val="20"/>
              <w:szCs w:val="20"/>
            </w:rPr>
            <w:t>, Summer.</w:t>
          </w:r>
        </w:p>
        <w:p w14:paraId="220DBE6D" w14:textId="05680B57" w:rsidR="00523C68" w:rsidRDefault="00523C68" w:rsidP="00523C68">
          <w:pPr>
            <w:tabs>
              <w:tab w:val="left" w:pos="360"/>
              <w:tab w:val="left" w:pos="720"/>
            </w:tabs>
            <w:spacing w:after="0" w:line="240" w:lineRule="auto"/>
            <w:rPr>
              <w:rFonts w:asciiTheme="majorHAnsi" w:hAnsiTheme="majorHAnsi" w:cs="Arial"/>
              <w:sz w:val="20"/>
              <w:szCs w:val="20"/>
            </w:rPr>
          </w:pPr>
          <w:r w:rsidRPr="00523C68">
            <w:rPr>
              <w:rFonts w:asciiTheme="majorHAnsi" w:hAnsiTheme="majorHAnsi" w:cs="Arial"/>
              <w:sz w:val="20"/>
              <w:szCs w:val="20"/>
            </w:rPr>
            <w:lastRenderedPageBreak/>
            <w:t>FIN 479V. Finance Internship Practical experience in a variety of finance settings. Students will</w:t>
          </w:r>
          <w:r w:rsidR="00264AFE">
            <w:rPr>
              <w:rFonts w:asciiTheme="majorHAnsi" w:hAnsiTheme="majorHAnsi" w:cs="Arial"/>
              <w:sz w:val="20"/>
              <w:szCs w:val="20"/>
            </w:rPr>
            <w:t xml:space="preserve"> </w:t>
          </w:r>
          <w:r w:rsidRPr="00523C68">
            <w:rPr>
              <w:rFonts w:asciiTheme="majorHAnsi" w:hAnsiTheme="majorHAnsi" w:cs="Arial"/>
              <w:sz w:val="20"/>
              <w:szCs w:val="20"/>
            </w:rPr>
            <w:t>be assigned to work with an organization and supervised by an experienced professional to gain</w:t>
          </w:r>
          <w:r w:rsidR="00264AFE">
            <w:rPr>
              <w:rFonts w:asciiTheme="majorHAnsi" w:hAnsiTheme="majorHAnsi" w:cs="Arial"/>
              <w:sz w:val="20"/>
              <w:szCs w:val="20"/>
            </w:rPr>
            <w:t xml:space="preserve"> </w:t>
          </w:r>
          <w:r w:rsidRPr="00523C68">
            <w:rPr>
              <w:rFonts w:asciiTheme="majorHAnsi" w:hAnsiTheme="majorHAnsi" w:cs="Arial"/>
              <w:sz w:val="20"/>
              <w:szCs w:val="20"/>
            </w:rPr>
            <w:t xml:space="preserve">real world training. Prerequisite, instructor permission. Fall, </w:t>
          </w:r>
          <w:proofErr w:type="gramStart"/>
          <w:r w:rsidRPr="00523C68">
            <w:rPr>
              <w:rFonts w:asciiTheme="majorHAnsi" w:hAnsiTheme="majorHAnsi" w:cs="Arial"/>
              <w:sz w:val="20"/>
              <w:szCs w:val="20"/>
            </w:rPr>
            <w:t>Spring</w:t>
          </w:r>
          <w:proofErr w:type="gramEnd"/>
          <w:r w:rsidRPr="00523C68">
            <w:rPr>
              <w:rFonts w:asciiTheme="majorHAnsi" w:hAnsiTheme="majorHAnsi" w:cs="Arial"/>
              <w:sz w:val="20"/>
              <w:szCs w:val="20"/>
            </w:rPr>
            <w:t>, Summer.</w:t>
          </w:r>
        </w:p>
        <w:p w14:paraId="0387BBAA" w14:textId="77777777" w:rsidR="00264AFE" w:rsidRPr="00523C68" w:rsidRDefault="00264AFE" w:rsidP="00523C68">
          <w:pPr>
            <w:tabs>
              <w:tab w:val="left" w:pos="360"/>
              <w:tab w:val="left" w:pos="720"/>
            </w:tabs>
            <w:spacing w:after="0" w:line="240" w:lineRule="auto"/>
            <w:rPr>
              <w:rFonts w:asciiTheme="majorHAnsi" w:hAnsiTheme="majorHAnsi" w:cs="Arial"/>
              <w:sz w:val="20"/>
              <w:szCs w:val="20"/>
            </w:rPr>
          </w:pPr>
        </w:p>
        <w:p w14:paraId="6AA2BF4F" w14:textId="21A1A6BB" w:rsidR="00523C68" w:rsidRPr="00523C68" w:rsidRDefault="00523C68" w:rsidP="00523C68">
          <w:pPr>
            <w:tabs>
              <w:tab w:val="left" w:pos="360"/>
              <w:tab w:val="left" w:pos="720"/>
            </w:tabs>
            <w:spacing w:after="0" w:line="240" w:lineRule="auto"/>
            <w:rPr>
              <w:rFonts w:asciiTheme="majorHAnsi" w:hAnsiTheme="majorHAnsi" w:cs="Arial"/>
              <w:sz w:val="20"/>
              <w:szCs w:val="20"/>
            </w:rPr>
          </w:pPr>
          <w:r w:rsidRPr="00523C68">
            <w:rPr>
              <w:rFonts w:asciiTheme="majorHAnsi" w:hAnsiTheme="majorHAnsi" w:cs="Arial"/>
              <w:sz w:val="20"/>
              <w:szCs w:val="20"/>
            </w:rPr>
            <w:t>FIN 489V. Special Problems in Finance Individual problems in finance arranged in consultation</w:t>
          </w:r>
          <w:r w:rsidR="00264AFE">
            <w:rPr>
              <w:rFonts w:asciiTheme="majorHAnsi" w:hAnsiTheme="majorHAnsi" w:cs="Arial"/>
              <w:sz w:val="20"/>
              <w:szCs w:val="20"/>
            </w:rPr>
            <w:t xml:space="preserve"> </w:t>
          </w:r>
          <w:r w:rsidRPr="00523C68">
            <w:rPr>
              <w:rFonts w:asciiTheme="majorHAnsi" w:hAnsiTheme="majorHAnsi" w:cs="Arial"/>
              <w:sz w:val="20"/>
              <w:szCs w:val="20"/>
            </w:rPr>
            <w:t xml:space="preserve">with the instructor. Must be approved by department chair. Fall, </w:t>
          </w:r>
          <w:proofErr w:type="gramStart"/>
          <w:r w:rsidRPr="00523C68">
            <w:rPr>
              <w:rFonts w:asciiTheme="majorHAnsi" w:hAnsiTheme="majorHAnsi" w:cs="Arial"/>
              <w:sz w:val="20"/>
              <w:szCs w:val="20"/>
            </w:rPr>
            <w:t>Spring</w:t>
          </w:r>
          <w:proofErr w:type="gramEnd"/>
          <w:r w:rsidRPr="00523C68">
            <w:rPr>
              <w:rFonts w:asciiTheme="majorHAnsi" w:hAnsiTheme="majorHAnsi" w:cs="Arial"/>
              <w:sz w:val="20"/>
              <w:szCs w:val="20"/>
            </w:rPr>
            <w:t>, Summer.</w:t>
          </w:r>
        </w:p>
        <w:p w14:paraId="51860CDE" w14:textId="77777777" w:rsidR="00264AFE" w:rsidRDefault="00264AFE" w:rsidP="00523C68">
          <w:pPr>
            <w:tabs>
              <w:tab w:val="left" w:pos="360"/>
              <w:tab w:val="left" w:pos="720"/>
            </w:tabs>
            <w:spacing w:after="0" w:line="240" w:lineRule="auto"/>
            <w:rPr>
              <w:rFonts w:asciiTheme="majorHAnsi" w:hAnsiTheme="majorHAnsi" w:cs="Arial"/>
              <w:sz w:val="20"/>
              <w:szCs w:val="20"/>
            </w:rPr>
          </w:pPr>
        </w:p>
        <w:p w14:paraId="00923436" w14:textId="77777777" w:rsidR="00523C68" w:rsidRPr="00523C68" w:rsidRDefault="00523C68" w:rsidP="00523C68">
          <w:pPr>
            <w:tabs>
              <w:tab w:val="left" w:pos="360"/>
              <w:tab w:val="left" w:pos="720"/>
            </w:tabs>
            <w:spacing w:after="0" w:line="240" w:lineRule="auto"/>
            <w:rPr>
              <w:rFonts w:asciiTheme="majorHAnsi" w:hAnsiTheme="majorHAnsi" w:cs="Arial"/>
              <w:sz w:val="20"/>
              <w:szCs w:val="20"/>
            </w:rPr>
          </w:pPr>
          <w:r w:rsidRPr="00523C68">
            <w:rPr>
              <w:rFonts w:asciiTheme="majorHAnsi" w:hAnsiTheme="majorHAnsi" w:cs="Arial"/>
              <w:sz w:val="20"/>
              <w:szCs w:val="20"/>
            </w:rPr>
            <w:t>French (FR)</w:t>
          </w:r>
        </w:p>
        <w:p w14:paraId="29021133" w14:textId="31AB3E84" w:rsidR="00523C68" w:rsidRDefault="00523C68" w:rsidP="00523C68">
          <w:pPr>
            <w:tabs>
              <w:tab w:val="left" w:pos="360"/>
              <w:tab w:val="left" w:pos="720"/>
            </w:tabs>
            <w:spacing w:after="0" w:line="240" w:lineRule="auto"/>
            <w:rPr>
              <w:rFonts w:asciiTheme="majorHAnsi" w:hAnsiTheme="majorHAnsi" w:cs="Arial"/>
              <w:sz w:val="20"/>
              <w:szCs w:val="20"/>
            </w:rPr>
          </w:pPr>
          <w:r w:rsidRPr="00523C68">
            <w:rPr>
              <w:rFonts w:asciiTheme="majorHAnsi" w:hAnsiTheme="majorHAnsi" w:cs="Arial"/>
              <w:sz w:val="20"/>
              <w:szCs w:val="20"/>
            </w:rPr>
            <w:t>FR 1013. Elementary French I Practice toward developing basic proficiency in listening</w:t>
          </w:r>
          <w:r w:rsidR="00264AFE">
            <w:rPr>
              <w:rFonts w:asciiTheme="majorHAnsi" w:hAnsiTheme="majorHAnsi" w:cs="Arial"/>
              <w:sz w:val="20"/>
              <w:szCs w:val="20"/>
            </w:rPr>
            <w:t xml:space="preserve"> </w:t>
          </w:r>
          <w:r w:rsidRPr="00523C68">
            <w:rPr>
              <w:rFonts w:asciiTheme="majorHAnsi" w:hAnsiTheme="majorHAnsi" w:cs="Arial"/>
              <w:sz w:val="20"/>
              <w:szCs w:val="20"/>
            </w:rPr>
            <w:t>comprehension, speaking, reading, writing, and cultural understanding of the French-speaking</w:t>
          </w:r>
          <w:r w:rsidR="00264AFE">
            <w:rPr>
              <w:rFonts w:asciiTheme="majorHAnsi" w:hAnsiTheme="majorHAnsi" w:cs="Arial"/>
              <w:sz w:val="20"/>
              <w:szCs w:val="20"/>
            </w:rPr>
            <w:t xml:space="preserve"> </w:t>
          </w:r>
          <w:r w:rsidRPr="00523C68">
            <w:rPr>
              <w:rFonts w:asciiTheme="majorHAnsi" w:hAnsiTheme="majorHAnsi" w:cs="Arial"/>
              <w:sz w:val="20"/>
              <w:szCs w:val="20"/>
            </w:rPr>
            <w:t>world. Fall. (ACTS#: FREN 1013)</w:t>
          </w:r>
        </w:p>
        <w:p w14:paraId="118A2BD7" w14:textId="77777777" w:rsidR="00264AFE" w:rsidRPr="00523C68" w:rsidRDefault="00264AFE" w:rsidP="00523C68">
          <w:pPr>
            <w:tabs>
              <w:tab w:val="left" w:pos="360"/>
              <w:tab w:val="left" w:pos="720"/>
            </w:tabs>
            <w:spacing w:after="0" w:line="240" w:lineRule="auto"/>
            <w:rPr>
              <w:rFonts w:asciiTheme="majorHAnsi" w:hAnsiTheme="majorHAnsi" w:cs="Arial"/>
              <w:sz w:val="20"/>
              <w:szCs w:val="20"/>
            </w:rPr>
          </w:pPr>
        </w:p>
        <w:p w14:paraId="4F5AA36C" w14:textId="5A4E66C7" w:rsidR="00523C68" w:rsidRDefault="00264AFE" w:rsidP="00523C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FR 1023. Elementary French </w:t>
          </w:r>
          <w:proofErr w:type="gramStart"/>
          <w:r>
            <w:rPr>
              <w:rFonts w:asciiTheme="majorHAnsi" w:hAnsiTheme="majorHAnsi" w:cs="Arial"/>
              <w:sz w:val="20"/>
              <w:szCs w:val="20"/>
            </w:rPr>
            <w:t xml:space="preserve">II  </w:t>
          </w:r>
          <w:r w:rsidR="00523C68" w:rsidRPr="00523C68">
            <w:rPr>
              <w:rFonts w:asciiTheme="majorHAnsi" w:hAnsiTheme="majorHAnsi" w:cs="Arial"/>
              <w:sz w:val="20"/>
              <w:szCs w:val="20"/>
            </w:rPr>
            <w:t>Continuation</w:t>
          </w:r>
          <w:proofErr w:type="gramEnd"/>
          <w:r w:rsidR="00523C68" w:rsidRPr="00523C68">
            <w:rPr>
              <w:rFonts w:asciiTheme="majorHAnsi" w:hAnsiTheme="majorHAnsi" w:cs="Arial"/>
              <w:sz w:val="20"/>
              <w:szCs w:val="20"/>
            </w:rPr>
            <w:t xml:space="preserve"> of FR 1013. Prerequisite, FR 1013 or instructor permission. Spring. (ACTS#: FREN 1023)</w:t>
          </w:r>
        </w:p>
        <w:p w14:paraId="7CC0A16E" w14:textId="77777777" w:rsidR="00264AFE" w:rsidRPr="00523C68" w:rsidRDefault="00264AFE" w:rsidP="00523C68">
          <w:pPr>
            <w:tabs>
              <w:tab w:val="left" w:pos="360"/>
              <w:tab w:val="left" w:pos="720"/>
            </w:tabs>
            <w:spacing w:after="0" w:line="240" w:lineRule="auto"/>
            <w:rPr>
              <w:rFonts w:asciiTheme="majorHAnsi" w:hAnsiTheme="majorHAnsi" w:cs="Arial"/>
              <w:sz w:val="20"/>
              <w:szCs w:val="20"/>
            </w:rPr>
          </w:pPr>
        </w:p>
        <w:p w14:paraId="7FF33920" w14:textId="1F608597" w:rsidR="00523C68" w:rsidRDefault="00523C68" w:rsidP="00523C68">
          <w:pPr>
            <w:tabs>
              <w:tab w:val="left" w:pos="360"/>
              <w:tab w:val="left" w:pos="720"/>
            </w:tabs>
            <w:spacing w:after="0" w:line="240" w:lineRule="auto"/>
            <w:rPr>
              <w:rFonts w:asciiTheme="majorHAnsi" w:hAnsiTheme="majorHAnsi" w:cs="Arial"/>
              <w:sz w:val="20"/>
              <w:szCs w:val="20"/>
            </w:rPr>
          </w:pPr>
          <w:r w:rsidRPr="00523C68">
            <w:rPr>
              <w:rFonts w:asciiTheme="majorHAnsi" w:hAnsiTheme="majorHAnsi" w:cs="Arial"/>
              <w:sz w:val="20"/>
              <w:szCs w:val="20"/>
            </w:rPr>
            <w:t>FR 2013. Intermediate French I Further development of the basic language skills, with</w:t>
          </w:r>
          <w:r w:rsidR="00264AFE">
            <w:rPr>
              <w:rFonts w:asciiTheme="majorHAnsi" w:hAnsiTheme="majorHAnsi" w:cs="Arial"/>
              <w:sz w:val="20"/>
              <w:szCs w:val="20"/>
            </w:rPr>
            <w:t xml:space="preserve"> </w:t>
          </w:r>
          <w:r w:rsidRPr="00523C68">
            <w:rPr>
              <w:rFonts w:asciiTheme="majorHAnsi" w:hAnsiTheme="majorHAnsi" w:cs="Arial"/>
              <w:sz w:val="20"/>
              <w:szCs w:val="20"/>
            </w:rPr>
            <w:t>increasing emphasis on the written elements of the language. Continuation of FR 1023. Prerequisite, FR 1023 or instructor permission. Fall. (ACTS#: FREN 2013)</w:t>
          </w:r>
        </w:p>
        <w:p w14:paraId="0E5DB762" w14:textId="77777777" w:rsidR="00523C68" w:rsidRDefault="00523C68" w:rsidP="00523C68">
          <w:pPr>
            <w:tabs>
              <w:tab w:val="left" w:pos="360"/>
              <w:tab w:val="left" w:pos="720"/>
            </w:tabs>
            <w:spacing w:after="0" w:line="240" w:lineRule="auto"/>
            <w:rPr>
              <w:rFonts w:asciiTheme="majorHAnsi" w:hAnsiTheme="majorHAnsi" w:cs="Arial"/>
              <w:sz w:val="20"/>
              <w:szCs w:val="20"/>
            </w:rPr>
          </w:pPr>
        </w:p>
        <w:p w14:paraId="70531004" w14:textId="77777777" w:rsidR="00523C68" w:rsidRDefault="00523C68" w:rsidP="00523C68">
          <w:pPr>
            <w:tabs>
              <w:tab w:val="left" w:pos="360"/>
              <w:tab w:val="left" w:pos="720"/>
            </w:tabs>
            <w:spacing w:after="0" w:line="240" w:lineRule="auto"/>
            <w:rPr>
              <w:rFonts w:asciiTheme="majorHAnsi" w:hAnsiTheme="majorHAnsi" w:cs="Arial"/>
              <w:sz w:val="20"/>
              <w:szCs w:val="20"/>
            </w:rPr>
          </w:pPr>
        </w:p>
        <w:p w14:paraId="27FFDB12" w14:textId="47AF365B" w:rsidR="00D3680D" w:rsidRPr="008426D1" w:rsidRDefault="00523C68" w:rsidP="00523C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487</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Office User" w:date="2020-10-23T08:52:00Z" w:initials="MOU">
    <w:p w14:paraId="5C23D5D1" w14:textId="790F51DF" w:rsidR="00D03888" w:rsidRDefault="00D03888">
      <w:pPr>
        <w:pStyle w:val="CommentText"/>
      </w:pPr>
      <w:r>
        <w:rPr>
          <w:rStyle w:val="CommentReference"/>
        </w:rPr>
        <w:annotationRef/>
      </w:r>
      <w:r>
        <w:t>Taskstream also lists the MFT as a measure for this outcome. Is that still accurate that in addition to exam questions, the MFT is also a measure of Outcome #4? If so, please add the MFT here and return the form for our signature.</w:t>
      </w:r>
    </w:p>
  </w:comment>
  <w:comment w:id="1" w:author="Shanon Brantley" w:date="2020-11-11T12:57:00Z" w:initials="SB">
    <w:p w14:paraId="3B1AE1EF" w14:textId="1ACC46B6" w:rsidR="00C102EC" w:rsidRDefault="00C102EC">
      <w:pPr>
        <w:pStyle w:val="CommentText"/>
      </w:pPr>
      <w:r>
        <w:rPr>
          <w:rStyle w:val="CommentReference"/>
        </w:rPr>
        <w:annotationRef/>
      </w:r>
      <w:r>
        <w:t xml:space="preserve">Need to include the course name.  Also needs to include the prerequisites and the semester the course will be offered.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23D5D1" w15:done="0"/>
  <w15:commentEx w15:paraId="3B1AE1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D1848" w16cex:dateUtc="2020-10-23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23D5D1" w16cid:durableId="233D18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F0C94" w14:textId="77777777" w:rsidR="00AB0811" w:rsidRDefault="00AB0811" w:rsidP="00AF3758">
      <w:pPr>
        <w:spacing w:after="0" w:line="240" w:lineRule="auto"/>
      </w:pPr>
      <w:r>
        <w:separator/>
      </w:r>
    </w:p>
  </w:endnote>
  <w:endnote w:type="continuationSeparator" w:id="0">
    <w:p w14:paraId="13DAD670" w14:textId="77777777" w:rsidR="00AB0811" w:rsidRDefault="00AB081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1D6A4FB1"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6FB7">
      <w:rPr>
        <w:rStyle w:val="PageNumber"/>
        <w:noProof/>
      </w:rPr>
      <w:t>10</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45CC9" w14:textId="77777777" w:rsidR="00AB0811" w:rsidRDefault="00AB0811" w:rsidP="00AF3758">
      <w:pPr>
        <w:spacing w:after="0" w:line="240" w:lineRule="auto"/>
      </w:pPr>
      <w:r>
        <w:separator/>
      </w:r>
    </w:p>
  </w:footnote>
  <w:footnote w:type="continuationSeparator" w:id="0">
    <w:p w14:paraId="3FD78C77" w14:textId="77777777" w:rsidR="00AB0811" w:rsidRDefault="00AB0811"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34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Shanon Brantley">
    <w15:presenceInfo w15:providerId="AD" w15:userId="S-1-5-21-1547161642-1343024091-725345543-282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yNTM3sjC0NLc0tTBS0lEKTi0uzszPAykwrAUA6MTG+ywAAAA="/>
    <w:docVar w:name="APWAFVersion" w:val="5.0"/>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B3151"/>
    <w:rsid w:val="000D06F1"/>
    <w:rsid w:val="000E0BB8"/>
    <w:rsid w:val="000F0FE3"/>
    <w:rsid w:val="000F5476"/>
    <w:rsid w:val="00101FF4"/>
    <w:rsid w:val="00103070"/>
    <w:rsid w:val="00126FB7"/>
    <w:rsid w:val="00150E96"/>
    <w:rsid w:val="00151451"/>
    <w:rsid w:val="0015192B"/>
    <w:rsid w:val="00151FD3"/>
    <w:rsid w:val="0015536A"/>
    <w:rsid w:val="00156679"/>
    <w:rsid w:val="00156BAE"/>
    <w:rsid w:val="00160522"/>
    <w:rsid w:val="001611E3"/>
    <w:rsid w:val="00185D67"/>
    <w:rsid w:val="0019007D"/>
    <w:rsid w:val="001A5DD5"/>
    <w:rsid w:val="001B2E72"/>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4AFE"/>
    <w:rsid w:val="00265C17"/>
    <w:rsid w:val="002710A8"/>
    <w:rsid w:val="00276F55"/>
    <w:rsid w:val="0028351D"/>
    <w:rsid w:val="00283525"/>
    <w:rsid w:val="002A7E22"/>
    <w:rsid w:val="002B2119"/>
    <w:rsid w:val="002C498C"/>
    <w:rsid w:val="002E0CD3"/>
    <w:rsid w:val="002E3BD5"/>
    <w:rsid w:val="002E544F"/>
    <w:rsid w:val="002F277B"/>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1F1D"/>
    <w:rsid w:val="00393E47"/>
    <w:rsid w:val="00395BB2"/>
    <w:rsid w:val="00396386"/>
    <w:rsid w:val="00396C14"/>
    <w:rsid w:val="003C334C"/>
    <w:rsid w:val="003C6D69"/>
    <w:rsid w:val="003D117A"/>
    <w:rsid w:val="003D2DDC"/>
    <w:rsid w:val="003D5ADD"/>
    <w:rsid w:val="003D6A97"/>
    <w:rsid w:val="003D72FB"/>
    <w:rsid w:val="003F2F3D"/>
    <w:rsid w:val="004072F1"/>
    <w:rsid w:val="00407FBA"/>
    <w:rsid w:val="004167AB"/>
    <w:rsid w:val="0042199E"/>
    <w:rsid w:val="004228EA"/>
    <w:rsid w:val="00424133"/>
    <w:rsid w:val="00426FD6"/>
    <w:rsid w:val="00434AA5"/>
    <w:rsid w:val="004665CF"/>
    <w:rsid w:val="00473252"/>
    <w:rsid w:val="00474C39"/>
    <w:rsid w:val="00487771"/>
    <w:rsid w:val="00491BD4"/>
    <w:rsid w:val="0049675B"/>
    <w:rsid w:val="004A211B"/>
    <w:rsid w:val="004A2E84"/>
    <w:rsid w:val="004A71EF"/>
    <w:rsid w:val="004A7706"/>
    <w:rsid w:val="004B1430"/>
    <w:rsid w:val="004C4ADF"/>
    <w:rsid w:val="004C53EC"/>
    <w:rsid w:val="004D5819"/>
    <w:rsid w:val="004F3C87"/>
    <w:rsid w:val="00504ECD"/>
    <w:rsid w:val="00523C68"/>
    <w:rsid w:val="00526B81"/>
    <w:rsid w:val="0054568E"/>
    <w:rsid w:val="00547433"/>
    <w:rsid w:val="00556E69"/>
    <w:rsid w:val="005572E7"/>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52A8F"/>
    <w:rsid w:val="00661D25"/>
    <w:rsid w:val="0066260B"/>
    <w:rsid w:val="006657FB"/>
    <w:rsid w:val="0066789C"/>
    <w:rsid w:val="00670599"/>
    <w:rsid w:val="00671EAA"/>
    <w:rsid w:val="00673824"/>
    <w:rsid w:val="0067749B"/>
    <w:rsid w:val="00677A48"/>
    <w:rsid w:val="006801AE"/>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65034"/>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0811"/>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21841"/>
    <w:rsid w:val="00B35368"/>
    <w:rsid w:val="00B46334"/>
    <w:rsid w:val="00B51325"/>
    <w:rsid w:val="00B5613F"/>
    <w:rsid w:val="00B6203D"/>
    <w:rsid w:val="00B6337D"/>
    <w:rsid w:val="00B71755"/>
    <w:rsid w:val="00B74127"/>
    <w:rsid w:val="00B86002"/>
    <w:rsid w:val="00B97755"/>
    <w:rsid w:val="00BB2A51"/>
    <w:rsid w:val="00BB2CBC"/>
    <w:rsid w:val="00BB5617"/>
    <w:rsid w:val="00BC2886"/>
    <w:rsid w:val="00BD1B2E"/>
    <w:rsid w:val="00BD623D"/>
    <w:rsid w:val="00BD6B57"/>
    <w:rsid w:val="00BE069E"/>
    <w:rsid w:val="00BE6384"/>
    <w:rsid w:val="00BE70E2"/>
    <w:rsid w:val="00BF68C8"/>
    <w:rsid w:val="00BF6FF6"/>
    <w:rsid w:val="00C002F9"/>
    <w:rsid w:val="00C06304"/>
    <w:rsid w:val="00C102EC"/>
    <w:rsid w:val="00C12816"/>
    <w:rsid w:val="00C12977"/>
    <w:rsid w:val="00C206FF"/>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491D"/>
    <w:rsid w:val="00CD73B4"/>
    <w:rsid w:val="00CE6F34"/>
    <w:rsid w:val="00CF60D8"/>
    <w:rsid w:val="00D02490"/>
    <w:rsid w:val="00D03888"/>
    <w:rsid w:val="00D06043"/>
    <w:rsid w:val="00D0686A"/>
    <w:rsid w:val="00D14CE3"/>
    <w:rsid w:val="00D20B84"/>
    <w:rsid w:val="00D215DB"/>
    <w:rsid w:val="00D24427"/>
    <w:rsid w:val="00D33FCF"/>
    <w:rsid w:val="00D3680D"/>
    <w:rsid w:val="00D36E2F"/>
    <w:rsid w:val="00D4202C"/>
    <w:rsid w:val="00D4255A"/>
    <w:rsid w:val="00D51205"/>
    <w:rsid w:val="00D56CA6"/>
    <w:rsid w:val="00D57716"/>
    <w:rsid w:val="00D66C39"/>
    <w:rsid w:val="00D67AC4"/>
    <w:rsid w:val="00D91DED"/>
    <w:rsid w:val="00D95DA5"/>
    <w:rsid w:val="00D96A29"/>
    <w:rsid w:val="00D979DD"/>
    <w:rsid w:val="00DB1CDE"/>
    <w:rsid w:val="00DB3463"/>
    <w:rsid w:val="00DC1C9F"/>
    <w:rsid w:val="00DD4450"/>
    <w:rsid w:val="00DE70AB"/>
    <w:rsid w:val="00DF04E0"/>
    <w:rsid w:val="00DF4C1C"/>
    <w:rsid w:val="00E015B1"/>
    <w:rsid w:val="00E0473D"/>
    <w:rsid w:val="00E2250C"/>
    <w:rsid w:val="00E253C1"/>
    <w:rsid w:val="00E27C4B"/>
    <w:rsid w:val="00E315F0"/>
    <w:rsid w:val="00E322A3"/>
    <w:rsid w:val="00E41F8D"/>
    <w:rsid w:val="00E45868"/>
    <w:rsid w:val="00E55FEA"/>
    <w:rsid w:val="00E70B06"/>
    <w:rsid w:val="00E75A2E"/>
    <w:rsid w:val="00E87EF0"/>
    <w:rsid w:val="00E90913"/>
    <w:rsid w:val="00EA1DBA"/>
    <w:rsid w:val="00EA50C8"/>
    <w:rsid w:val="00EA757C"/>
    <w:rsid w:val="00EB28B7"/>
    <w:rsid w:val="00EC1B4E"/>
    <w:rsid w:val="00EC52BB"/>
    <w:rsid w:val="00EC5D93"/>
    <w:rsid w:val="00EC6970"/>
    <w:rsid w:val="00ED5E7F"/>
    <w:rsid w:val="00EE0357"/>
    <w:rsid w:val="00EE2479"/>
    <w:rsid w:val="00EF2038"/>
    <w:rsid w:val="00EF2A44"/>
    <w:rsid w:val="00EF34D9"/>
    <w:rsid w:val="00EF3F87"/>
    <w:rsid w:val="00EF50DC"/>
    <w:rsid w:val="00EF59AD"/>
    <w:rsid w:val="00F22E83"/>
    <w:rsid w:val="00F24EE6"/>
    <w:rsid w:val="00F3035E"/>
    <w:rsid w:val="00F3261D"/>
    <w:rsid w:val="00F36F29"/>
    <w:rsid w:val="00F40E7C"/>
    <w:rsid w:val="00F44095"/>
    <w:rsid w:val="00F57D3E"/>
    <w:rsid w:val="00F63326"/>
    <w:rsid w:val="00F645B5"/>
    <w:rsid w:val="00F7007D"/>
    <w:rsid w:val="00F7429E"/>
    <w:rsid w:val="00F760B1"/>
    <w:rsid w:val="00F77400"/>
    <w:rsid w:val="00F80644"/>
    <w:rsid w:val="00F847A8"/>
    <w:rsid w:val="00FB00D4"/>
    <w:rsid w:val="00FB38CA"/>
    <w:rsid w:val="00FB7442"/>
    <w:rsid w:val="00FC5698"/>
    <w:rsid w:val="00FD2B44"/>
    <w:rsid w:val="00FD4A6D"/>
    <w:rsid w:val="00FD508C"/>
    <w:rsid w:val="00FE22BD"/>
    <w:rsid w:val="00FE514D"/>
    <w:rsid w:val="00FE7D85"/>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D03888"/>
    <w:rPr>
      <w:sz w:val="16"/>
      <w:szCs w:val="16"/>
    </w:rPr>
  </w:style>
  <w:style w:type="paragraph" w:styleId="CommentText">
    <w:name w:val="annotation text"/>
    <w:basedOn w:val="Normal"/>
    <w:link w:val="CommentTextChar"/>
    <w:uiPriority w:val="99"/>
    <w:semiHidden/>
    <w:unhideWhenUsed/>
    <w:rsid w:val="00D03888"/>
    <w:pPr>
      <w:spacing w:line="240" w:lineRule="auto"/>
    </w:pPr>
    <w:rPr>
      <w:sz w:val="20"/>
      <w:szCs w:val="20"/>
    </w:rPr>
  </w:style>
  <w:style w:type="character" w:customStyle="1" w:styleId="CommentTextChar">
    <w:name w:val="Comment Text Char"/>
    <w:basedOn w:val="DefaultParagraphFont"/>
    <w:link w:val="CommentText"/>
    <w:uiPriority w:val="99"/>
    <w:semiHidden/>
    <w:rsid w:val="00D03888"/>
    <w:rPr>
      <w:sz w:val="20"/>
      <w:szCs w:val="20"/>
    </w:rPr>
  </w:style>
  <w:style w:type="paragraph" w:styleId="CommentSubject">
    <w:name w:val="annotation subject"/>
    <w:basedOn w:val="CommentText"/>
    <w:next w:val="CommentText"/>
    <w:link w:val="CommentSubjectChar"/>
    <w:uiPriority w:val="99"/>
    <w:semiHidden/>
    <w:unhideWhenUsed/>
    <w:rsid w:val="00D03888"/>
    <w:rPr>
      <w:b/>
      <w:bCs/>
    </w:rPr>
  </w:style>
  <w:style w:type="character" w:customStyle="1" w:styleId="CommentSubjectChar">
    <w:name w:val="Comment Subject Char"/>
    <w:basedOn w:val="CommentTextChar"/>
    <w:link w:val="CommentSubject"/>
    <w:uiPriority w:val="99"/>
    <w:semiHidden/>
    <w:rsid w:val="00D03888"/>
    <w:rPr>
      <w:b/>
      <w:bCs/>
      <w:sz w:val="20"/>
      <w:szCs w:val="20"/>
    </w:rPr>
  </w:style>
  <w:style w:type="paragraph" w:styleId="Revision">
    <w:name w:val="Revision"/>
    <w:hidden/>
    <w:uiPriority w:val="99"/>
    <w:semiHidden/>
    <w:rsid w:val="00264A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ern@astate.edu"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7341D2A51C54A6CA6E704FEE39333B6"/>
        <w:category>
          <w:name w:val="General"/>
          <w:gallery w:val="placeholder"/>
        </w:category>
        <w:types>
          <w:type w:val="bbPlcHdr"/>
        </w:types>
        <w:behaviors>
          <w:behavior w:val="content"/>
        </w:behaviors>
        <w:guid w:val="{35134A6E-3263-4E20-A113-A19D4AC173A8}"/>
      </w:docPartPr>
      <w:docPartBody>
        <w:p w:rsidR="00A12C40" w:rsidRDefault="007F23FB" w:rsidP="007F23FB">
          <w:pPr>
            <w:pStyle w:val="D7341D2A51C54A6CA6E704FEE39333B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150C29"/>
    <w:rsid w:val="0019454D"/>
    <w:rsid w:val="002D64D6"/>
    <w:rsid w:val="0032383A"/>
    <w:rsid w:val="00337484"/>
    <w:rsid w:val="003D4C2A"/>
    <w:rsid w:val="003F69FB"/>
    <w:rsid w:val="00425226"/>
    <w:rsid w:val="00436B57"/>
    <w:rsid w:val="0045707B"/>
    <w:rsid w:val="004E1A75"/>
    <w:rsid w:val="00507E1D"/>
    <w:rsid w:val="00534B28"/>
    <w:rsid w:val="00576003"/>
    <w:rsid w:val="00587536"/>
    <w:rsid w:val="005C4D59"/>
    <w:rsid w:val="005D5D2F"/>
    <w:rsid w:val="006139E4"/>
    <w:rsid w:val="00623293"/>
    <w:rsid w:val="00654E35"/>
    <w:rsid w:val="006C3910"/>
    <w:rsid w:val="007F23FB"/>
    <w:rsid w:val="008822A5"/>
    <w:rsid w:val="00891F77"/>
    <w:rsid w:val="008C04AD"/>
    <w:rsid w:val="008E1850"/>
    <w:rsid w:val="00913E4B"/>
    <w:rsid w:val="0093079E"/>
    <w:rsid w:val="00962718"/>
    <w:rsid w:val="0096458F"/>
    <w:rsid w:val="009D439F"/>
    <w:rsid w:val="00A12C40"/>
    <w:rsid w:val="00A20583"/>
    <w:rsid w:val="00AC62E8"/>
    <w:rsid w:val="00AD4B92"/>
    <w:rsid w:val="00AD5D56"/>
    <w:rsid w:val="00B2559E"/>
    <w:rsid w:val="00B46360"/>
    <w:rsid w:val="00B46AFF"/>
    <w:rsid w:val="00B72454"/>
    <w:rsid w:val="00B72548"/>
    <w:rsid w:val="00BA0596"/>
    <w:rsid w:val="00BE0E7B"/>
    <w:rsid w:val="00C460C0"/>
    <w:rsid w:val="00CB25D5"/>
    <w:rsid w:val="00CD014B"/>
    <w:rsid w:val="00CD4EF8"/>
    <w:rsid w:val="00CD656D"/>
    <w:rsid w:val="00CE7C19"/>
    <w:rsid w:val="00D87B77"/>
    <w:rsid w:val="00D96F4E"/>
    <w:rsid w:val="00DB7E06"/>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D7341D2A51C54A6CA6E704FEE39333B6">
    <w:name w:val="D7341D2A51C54A6CA6E704FEE39333B6"/>
    <w:rsid w:val="007F23F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51388-8718-4C2A-9A8B-9FCD0F0A7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2343</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Melodie Philhours</cp:lastModifiedBy>
  <cp:revision>2</cp:revision>
  <cp:lastPrinted>2019-07-10T17:02:00Z</cp:lastPrinted>
  <dcterms:created xsi:type="dcterms:W3CDTF">2020-11-13T15:54:00Z</dcterms:created>
  <dcterms:modified xsi:type="dcterms:W3CDTF">2020-11-13T15:54:00Z</dcterms:modified>
</cp:coreProperties>
</file>