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E45079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095858E" w:rsidR="00AB4AA6" w:rsidRDefault="007649BF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E4507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E45079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74279781" w:rsidR="00AB4AA6" w:rsidRDefault="007649BF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E4507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407ED56" w:rsidR="00AB4AA6" w:rsidRDefault="00E45079" w:rsidP="001D43C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1D43C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39EB1CDE" w:rsidR="00AB4AA6" w:rsidRDefault="001D43CB" w:rsidP="001D43C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E4507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5BD65C27" w:rsidR="00AB4AA6" w:rsidRDefault="00E4507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E06A8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4A23C19" w:rsidR="00AB4AA6" w:rsidRDefault="00E06A8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E4507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E4507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E45079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501568CA" w:rsidR="00F87DAF" w:rsidRDefault="00FA039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Teaching Officer CBRNE Protection</w:t>
          </w:r>
          <w:r w:rsidR="00445A7C">
            <w:rPr>
              <w:rFonts w:asciiTheme="majorHAnsi" w:hAnsiTheme="majorHAnsi" w:cs="Arial"/>
              <w:sz w:val="20"/>
              <w:szCs w:val="20"/>
            </w:rPr>
            <w:t xml:space="preserve">, DPEM </w:t>
          </w:r>
          <w:r>
            <w:rPr>
              <w:rFonts w:asciiTheme="majorHAnsi" w:hAnsiTheme="majorHAnsi" w:cs="Arial"/>
              <w:sz w:val="20"/>
              <w:szCs w:val="20"/>
            </w:rPr>
            <w:t>3523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E45079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E45079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E45079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 w14:paraId="6DC7821A" w14:textId="33F46F3D" w:rsidR="00445A7C" w:rsidRDefault="005452AB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sdtContent>
    </w:sdt>
    <w:p w14:paraId="435C4D8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2363. Fundamentals of CBRNE Crime Scene Management </w:t>
      </w:r>
      <w:r>
        <w:rPr>
          <w:rFonts w:ascii="∆÷Ñ˛" w:hAnsi="∆÷Ñ˛" w:cs="∆÷Ñ˛"/>
          <w:sz w:val="16"/>
          <w:szCs w:val="16"/>
        </w:rPr>
        <w:t>Knowledge of proper</w:t>
      </w:r>
    </w:p>
    <w:p w14:paraId="4718049F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implementation of procedures and guidelines for crime scene management when responding to a</w:t>
      </w:r>
    </w:p>
    <w:p w14:paraId="7F761EE6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Chemical, Biological, Radiologic, Nuclear and/or Explosive incident. Fall, Spring, Summer.</w:t>
      </w:r>
    </w:p>
    <w:p w14:paraId="01D51093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8C6745" w14:textId="599D47B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2371. Protective Measures for CBRNE Incidents Provides students, future law en</w:t>
      </w:r>
      <w:r>
        <w:rPr>
          <w:rFonts w:ascii="∆÷Ñ˛" w:hAnsi="∆÷Ñ˛" w:cs="∆÷Ñ˛"/>
          <w:sz w:val="16"/>
          <w:szCs w:val="16"/>
        </w:rPr>
        <w:t>forcement</w:t>
      </w:r>
    </w:p>
    <w:p w14:paraId="3262BCE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responders, with the ability to train in CBRNE-specific skills, reinforcing their ability to</w:t>
      </w:r>
    </w:p>
    <w:p w14:paraId="10F4AC21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identify suspicious activity that could lead to a CBRNE event and with the knowledge to respond</w:t>
      </w:r>
    </w:p>
    <w:p w14:paraId="157C1DC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to a CBRNE event. Fall, Spring, Summer.</w:t>
      </w:r>
    </w:p>
    <w:p w14:paraId="4B568D5A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8FCA3D" w14:textId="65E989C1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2381. Law Enforcement Response Actions for CBRNE Incidents Provides students,</w:t>
      </w:r>
    </w:p>
    <w:p w14:paraId="084E69AB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law enforcement responders, with CBRNE-specific response skills, enabling them to safely respond</w:t>
      </w:r>
    </w:p>
    <w:p w14:paraId="433880F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to a suspected Weapons of Mass Destruction (WMD) incident at a performance-defensive</w:t>
      </w:r>
    </w:p>
    <w:p w14:paraId="69B948C4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level. Fall, Spring, Summer.</w:t>
      </w:r>
    </w:p>
    <w:p w14:paraId="1DA97F41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2985C3" w14:textId="5279972D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2391. Initial Response to Suicide Bomb Attacks </w:t>
      </w:r>
      <w:r>
        <w:rPr>
          <w:rFonts w:ascii="∆÷Ñ˛" w:hAnsi="∆÷Ñ˛" w:cs="∆÷Ñ˛"/>
          <w:sz w:val="16"/>
          <w:szCs w:val="16"/>
        </w:rPr>
        <w:t>Provides students, front line Law</w:t>
      </w:r>
    </w:p>
    <w:p w14:paraId="47FD354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Enforcement Officers, with the skills and knowledge to effectively interdict and respond to an imminent</w:t>
      </w:r>
    </w:p>
    <w:p w14:paraId="57F28BEF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suicide bombing attack (person-borne or vehicle-borne) or a non-suicide attack involving a</w:t>
      </w:r>
    </w:p>
    <w:p w14:paraId="0EEF3C2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vehicle-borne device. Fall, Spring, Summer.</w:t>
      </w:r>
    </w:p>
    <w:p w14:paraId="750305F5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E4307D" w14:textId="0A83954B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2402. Civil Disorder in Disasters and Emergencies </w:t>
      </w:r>
      <w:r>
        <w:rPr>
          <w:rFonts w:ascii="∆÷Ñ˛" w:hAnsi="∆÷Ñ˛" w:cs="∆÷Ñ˛"/>
          <w:sz w:val="16"/>
          <w:szCs w:val="16"/>
        </w:rPr>
        <w:t>The course provides students from</w:t>
      </w:r>
    </w:p>
    <w:p w14:paraId="6F24F057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state and local law enforcement agencies with the knowledge and skills necessary to prepare for</w:t>
      </w:r>
    </w:p>
    <w:p w14:paraId="77253E0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and successfully mitigate threat incidents involving civil disorder.</w:t>
      </w:r>
    </w:p>
    <w:p w14:paraId="2E2B1B5F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C884B4" w14:textId="10086C30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2412. Command and Planning for Civil Disorder in Disasters and Emergencies Pro</w:t>
      </w:r>
      <w:r>
        <w:rPr>
          <w:rFonts w:ascii="∆÷Ñ˛" w:hAnsi="∆÷Ñ˛" w:cs="∆÷Ñ˛"/>
          <w:sz w:val="16"/>
          <w:szCs w:val="16"/>
        </w:rPr>
        <w:t>vides</w:t>
      </w:r>
    </w:p>
    <w:p w14:paraId="2997CD3A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students, emergency responders, with response skills that enable them to safely respond to</w:t>
      </w:r>
    </w:p>
    <w:p w14:paraId="3FA8E9D6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 incident at the management level culminating in a tabletop exercise. Fall, Spring, Summer.</w:t>
      </w:r>
    </w:p>
    <w:p w14:paraId="2D398AB1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1F8052" w14:textId="46C5CC40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2422. Extrication Tactics for Civil Disorder in Disasters and Emergencies Provides</w:t>
      </w:r>
    </w:p>
    <w:p w14:paraId="298AB1DE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students with the ability to identify protester devices; discuss legal issues related extrication from</w:t>
      </w:r>
    </w:p>
    <w:p w14:paraId="48D65097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protester devices; compare the roles and responsibilities of the extrication team; demonstrate safe</w:t>
      </w:r>
    </w:p>
    <w:p w14:paraId="60DE7A82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operation of tools and demonstrate methods of extricating individuals. Fall, Spring, Summer.</w:t>
      </w:r>
    </w:p>
    <w:p w14:paraId="438A126E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0EBC45" w14:textId="138A812B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2433. Basic Sign Language in DPEM Equips those responding to disasters and other</w:t>
      </w:r>
    </w:p>
    <w:p w14:paraId="1A59844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emergencies with communication methods, basic emergency sign language, common etiquette</w:t>
      </w:r>
    </w:p>
    <w:p w14:paraId="77335547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special considerations for the Deaf and hearing-impaired. Fall, Spring, Summer.</w:t>
      </w:r>
    </w:p>
    <w:p w14:paraId="3659D3AB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5B7052" w14:textId="22F1EE90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3053. Expanding Incident Management </w:t>
      </w:r>
      <w:r>
        <w:rPr>
          <w:rFonts w:ascii="∆÷Ñ˛" w:hAnsi="∆÷Ñ˛" w:cs="∆÷Ñ˛"/>
          <w:sz w:val="16"/>
          <w:szCs w:val="16"/>
        </w:rPr>
        <w:t>Advanced application of the Incident Command</w:t>
      </w:r>
    </w:p>
    <w:p w14:paraId="59F0A013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 (ICS) to prepare students to assume a supervisory role in expanding incidents as required</w:t>
      </w:r>
    </w:p>
    <w:p w14:paraId="7F39F222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by the National Incident Management System designated by the National Response Framework.</w:t>
      </w:r>
    </w:p>
    <w:p w14:paraId="6D0AFE81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Prerequisites, DPEM 1101, DPEM 1111 and DPEM 1121. Fall, Spring, Summer.</w:t>
      </w:r>
    </w:p>
    <w:p w14:paraId="176F7A8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D29A51" w14:textId="2F1A1A4B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3493. Politics of Disaster </w:t>
      </w:r>
      <w:r>
        <w:rPr>
          <w:rFonts w:ascii="∆÷Ñ˛" w:hAnsi="∆÷Ñ˛" w:cs="∆÷Ñ˛"/>
          <w:sz w:val="16"/>
          <w:szCs w:val="16"/>
        </w:rPr>
        <w:t>Analyzes the effects of the national response framework and presidential</w:t>
      </w:r>
    </w:p>
    <w:p w14:paraId="7F76EE36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lastRenderedPageBreak/>
        <w:t>directives in disaster preparedness and emergency management. Compares and contrast</w:t>
      </w:r>
    </w:p>
    <w:p w14:paraId="109D973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the role of society, science, and politics in emergency management. Explores the intergovernmental</w:t>
      </w:r>
    </w:p>
    <w:p w14:paraId="08BDD2C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relationships and the globalization of disasters. Fall, Spring, Summer.</w:t>
      </w:r>
    </w:p>
    <w:p w14:paraId="38AA2E5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4CA516" w14:textId="2ABD3BC1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3503. Principles of Disaster Preparedness and Emergency Management </w:t>
      </w:r>
      <w:r>
        <w:rPr>
          <w:rFonts w:ascii="∆÷Ñ˛" w:hAnsi="∆÷Ñ˛" w:cs="∆÷Ñ˛"/>
          <w:sz w:val="16"/>
          <w:szCs w:val="16"/>
        </w:rPr>
        <w:t>An all hazards</w:t>
      </w:r>
    </w:p>
    <w:p w14:paraId="18663A0D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approach is utilized to identify legal and ethical issues, cultural, political and religious issues, col</w:t>
      </w:r>
      <w:r>
        <w:rPr>
          <w:rFonts w:ascii="∆÷Ñ˛" w:hAnsi="∆÷Ñ˛" w:cs="∆÷Ñ˛"/>
          <w:sz w:val="16"/>
          <w:szCs w:val="16"/>
        </w:rPr>
        <w:t>lective</w:t>
      </w:r>
    </w:p>
    <w:p w14:paraId="24CDBE58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behaviors and group panic, role of the media, effective communication, and identification of</w:t>
      </w:r>
    </w:p>
    <w:p w14:paraId="040C0399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resources for persons engaged in disaster and emergency preparedness. Fall, Spring, Summer.</w:t>
      </w:r>
    </w:p>
    <w:p w14:paraId="5A67DE13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F2BEF3" w14:textId="73C151B1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3513. Teaching Incident Management </w:t>
      </w:r>
      <w:r>
        <w:rPr>
          <w:rFonts w:ascii="∆÷Ñ˛" w:hAnsi="∆÷Ñ˛" w:cs="∆÷Ñ˛"/>
          <w:sz w:val="16"/>
          <w:szCs w:val="16"/>
        </w:rPr>
        <w:t>Teaches presentation techniques, conducting practical</w:t>
      </w:r>
    </w:p>
    <w:p w14:paraId="0A945D3A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application, and preparing and maintaining lesson plans appropriate to Incident Command</w:t>
      </w:r>
    </w:p>
    <w:p w14:paraId="78C93197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 (ICS) requirements. Includes instructional strategies for ICS 100, 200, 300, 400, 700 &amp; 800.</w:t>
      </w:r>
    </w:p>
    <w:p w14:paraId="59805E8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Prerequisites, DPEM 1101, DPEM 1201, DPEM 3053 and DPEM 4053. Fall, Spring, Summer.</w:t>
      </w:r>
    </w:p>
    <w:p w14:paraId="0FD08D4E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2CB801E5" w14:textId="5DBF5299" w:rsidR="005452AB" w:rsidRPr="00C315B4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C315B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DPEM 3523. Teaching Officer CBRNE Protection Develops knowledge and skills to create and</w:t>
      </w:r>
    </w:p>
    <w:p w14:paraId="2A2D6A49" w14:textId="77777777" w:rsidR="005452AB" w:rsidRPr="00C315B4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C315B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deliver courses designed to implement strategies to protect law enforcement officers from exposure</w:t>
      </w:r>
    </w:p>
    <w:p w14:paraId="2B533FEC" w14:textId="77777777" w:rsidR="005452AB" w:rsidRPr="00C315B4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C315B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to Chemical, Biological, Radiological, Nuclear, and Explosives (CBRNE) to law enforcement. Fall,</w:t>
      </w:r>
    </w:p>
    <w:p w14:paraId="33C80C90" w14:textId="77777777" w:rsidR="005452AB" w:rsidRPr="00C315B4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</w:rPr>
      </w:pPr>
      <w:r w:rsidRPr="00C315B4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Spring, Summer.</w:t>
      </w:r>
    </w:p>
    <w:p w14:paraId="2666B6B0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96C343" w14:textId="4EC99505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3533. Teaching CBRNE Awareness </w:t>
      </w:r>
      <w:r>
        <w:rPr>
          <w:rFonts w:ascii="∆÷Ñ˛" w:hAnsi="∆÷Ñ˛" w:cs="∆÷Ñ˛"/>
          <w:sz w:val="16"/>
          <w:szCs w:val="16"/>
        </w:rPr>
        <w:t>Students learn how to provide instruction to the adult</w:t>
      </w:r>
    </w:p>
    <w:p w14:paraId="5ECD97BC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learning audience in Recognition, Avoidance, Isolation and Notification (RAIN) techniques when</w:t>
      </w:r>
    </w:p>
    <w:p w14:paraId="1043028F" w14:textId="77777777" w:rsidR="005452AB" w:rsidRDefault="005452AB" w:rsidP="005452AB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confronted with chemical agents, biological agents, radiological materials and explosive devices.</w:t>
      </w:r>
    </w:p>
    <w:p w14:paraId="0B0F3694" w14:textId="3F778FC3" w:rsidR="005452AB" w:rsidRDefault="005452AB" w:rsidP="005452AB">
      <w:pPr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Fall, Spring, Summer.</w:t>
      </w:r>
    </w:p>
    <w:p w14:paraId="58FFB34C" w14:textId="1A8A88BD" w:rsidR="005452AB" w:rsidRDefault="005452AB" w:rsidP="005452A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bulletin can be accessed at </w:t>
      </w:r>
      <w:hyperlink r:id="rId10" w:history="1">
        <w:r w:rsidRPr="00FB1666">
          <w:rPr>
            <w:rStyle w:val="Hyperlink"/>
            <w:rFonts w:ascii="Times New Roman" w:hAnsi="Times New Roman" w:cs="Times New Roman"/>
            <w:sz w:val="18"/>
            <w:szCs w:val="18"/>
          </w:rPr>
          <w:t>https://www.astate.edu/a/registrar/students/bulletins/</w:t>
        </w:r>
      </w:hyperlink>
    </w:p>
    <w:p w14:paraId="294E553F" w14:textId="0109FE7F" w:rsidR="005452AB" w:rsidRPr="004A35D2" w:rsidRDefault="005452AB" w:rsidP="005452AB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462</w:t>
      </w:r>
    </w:p>
    <w:sectPr w:rsidR="005452AB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2E693" w14:textId="77777777" w:rsidR="00E45079" w:rsidRDefault="00E45079" w:rsidP="00AF3758">
      <w:pPr>
        <w:spacing w:after="0" w:line="240" w:lineRule="auto"/>
      </w:pPr>
      <w:r>
        <w:separator/>
      </w:r>
    </w:p>
  </w:endnote>
  <w:endnote w:type="continuationSeparator" w:id="0">
    <w:p w14:paraId="667FFB47" w14:textId="77777777" w:rsidR="00E45079" w:rsidRDefault="00E4507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3C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DDBEE" w14:textId="77777777" w:rsidR="00E45079" w:rsidRDefault="00E45079" w:rsidP="00AF3758">
      <w:pPr>
        <w:spacing w:after="0" w:line="240" w:lineRule="auto"/>
      </w:pPr>
      <w:r>
        <w:separator/>
      </w:r>
    </w:p>
  </w:footnote>
  <w:footnote w:type="continuationSeparator" w:id="0">
    <w:p w14:paraId="35BEA666" w14:textId="77777777" w:rsidR="00E45079" w:rsidRDefault="00E4507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0F2F50"/>
    <w:rsid w:val="000F6471"/>
    <w:rsid w:val="00103070"/>
    <w:rsid w:val="00130E5B"/>
    <w:rsid w:val="00132B71"/>
    <w:rsid w:val="00151451"/>
    <w:rsid w:val="00185D67"/>
    <w:rsid w:val="001A5DD5"/>
    <w:rsid w:val="001A76C0"/>
    <w:rsid w:val="001D12E8"/>
    <w:rsid w:val="001D43CB"/>
    <w:rsid w:val="001F5E9E"/>
    <w:rsid w:val="001F6306"/>
    <w:rsid w:val="00207DBE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45A7C"/>
    <w:rsid w:val="00473252"/>
    <w:rsid w:val="00487771"/>
    <w:rsid w:val="004A35D2"/>
    <w:rsid w:val="004A7706"/>
    <w:rsid w:val="004D3FDD"/>
    <w:rsid w:val="004D76E2"/>
    <w:rsid w:val="004F3C87"/>
    <w:rsid w:val="00504BCC"/>
    <w:rsid w:val="00526B81"/>
    <w:rsid w:val="00535DFE"/>
    <w:rsid w:val="005371DB"/>
    <w:rsid w:val="005452AB"/>
    <w:rsid w:val="005522D7"/>
    <w:rsid w:val="00571E0A"/>
    <w:rsid w:val="00576393"/>
    <w:rsid w:val="00576B1B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649BF"/>
    <w:rsid w:val="00775F1F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1BF"/>
    <w:rsid w:val="008E6C1C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9333E"/>
    <w:rsid w:val="00BA5832"/>
    <w:rsid w:val="00BD123C"/>
    <w:rsid w:val="00BD2A0D"/>
    <w:rsid w:val="00BE069E"/>
    <w:rsid w:val="00BE6A44"/>
    <w:rsid w:val="00C12816"/>
    <w:rsid w:val="00C23CC7"/>
    <w:rsid w:val="00C315B4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06A87"/>
    <w:rsid w:val="00E45079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A039F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40E5C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D730B1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367FE-09D4-4F4C-8B2F-E29B45C8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10</cp:revision>
  <dcterms:created xsi:type="dcterms:W3CDTF">2020-07-08T19:52:00Z</dcterms:created>
  <dcterms:modified xsi:type="dcterms:W3CDTF">2020-12-07T18:54:00Z</dcterms:modified>
</cp:coreProperties>
</file>