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68CE026"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E03D1">
                <w:rPr>
                  <w:rFonts w:asciiTheme="majorHAnsi" w:hAnsiTheme="majorHAnsi"/>
                  <w:sz w:val="20"/>
                  <w:szCs w:val="20"/>
                </w:rPr>
                <w:t>BU01</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80E988" w:rsidR="00001C04" w:rsidRPr="008426D1" w:rsidRDefault="00EE03D1" w:rsidP="004214A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214A9" w:rsidRPr="004214A9">
                  <w:rPr>
                    <w:rFonts w:ascii="Bradley Hand ITC" w:hAnsi="Bradley Hand ITC"/>
                    <w:sz w:val="28"/>
                    <w:szCs w:val="28"/>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E03D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F8C0D23" w:rsidR="00001C04" w:rsidRPr="008426D1" w:rsidRDefault="00EE03D1" w:rsidP="004214A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14A9" w:rsidRPr="004214A9">
                      <w:rPr>
                        <w:rFonts w:ascii="Bradley Hand ITC" w:hAnsi="Bradley Hand ITC"/>
                        <w:sz w:val="28"/>
                        <w:szCs w:val="28"/>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E03D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C89925E" w:rsidR="00001C04" w:rsidRPr="008426D1" w:rsidRDefault="00EE03D1" w:rsidP="006230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230DB">
                      <w:rPr>
                        <w:rFonts w:asciiTheme="majorHAnsi" w:hAnsiTheme="majorHAnsi"/>
                        <w:sz w:val="20"/>
                        <w:szCs w:val="20"/>
                      </w:rPr>
                      <w:t xml:space="preserve">John E. Mello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7T00:00:00Z">
                  <w:dateFormat w:val="M/d/yyyy"/>
                  <w:lid w:val="en-US"/>
                  <w:storeMappedDataAs w:val="dateTime"/>
                  <w:calendar w:val="gregorian"/>
                </w:date>
              </w:sdtPr>
              <w:sdtEndPr/>
              <w:sdtContent>
                <w:r w:rsidR="006230DB">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E03D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E96AEEF" w:rsidR="00001C04" w:rsidRPr="008426D1" w:rsidRDefault="00EE03D1" w:rsidP="001830B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830BA">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7T00:00:00Z">
                  <w:dateFormat w:val="M/d/yyyy"/>
                  <w:lid w:val="en-US"/>
                  <w:storeMappedDataAs w:val="dateTime"/>
                  <w:calendar w:val="gregorian"/>
                </w:date>
              </w:sdtPr>
              <w:sdtEndPr/>
              <w:sdtContent>
                <w:r w:rsidR="001830BA">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E03D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E03D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BADEFC6"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61D8EC4"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617</w:t>
          </w:r>
          <w:r w:rsidR="00CB4235">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F4BF1E" w:rsidR="00CB4B5A" w:rsidRPr="008426D1" w:rsidRDefault="00EE03D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CPA Examination Review 1</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BBBED1B"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review the FAR and BEC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EE03D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EE03D1"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EE03D1"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1D9C3A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64DF06B" w14:textId="2B2A92DE"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 Financial Reporting</w:t>
          </w:r>
        </w:p>
        <w:sdt>
          <w:sdtPr>
            <w:rPr>
              <w:rFonts w:asciiTheme="majorHAnsi" w:hAnsiTheme="majorHAnsi" w:cs="Arial"/>
              <w:sz w:val="20"/>
              <w:szCs w:val="20"/>
            </w:rPr>
            <w:id w:val="-1653049434"/>
            <w:placeholder>
              <w:docPart w:val="571D85787BFF3143940B1326FC2694AA"/>
            </w:placeholder>
          </w:sdtPr>
          <w:sdtEndPr/>
          <w:sdtContent>
            <w:p w14:paraId="3E36CDFE" w14:textId="207D5D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 Financial Statement Disclosure</w:t>
              </w:r>
            </w:p>
          </w:sdtContent>
        </w:sdt>
        <w:sdt>
          <w:sdtPr>
            <w:rPr>
              <w:rFonts w:asciiTheme="majorHAnsi" w:hAnsiTheme="majorHAnsi" w:cs="Arial"/>
              <w:sz w:val="20"/>
              <w:szCs w:val="20"/>
            </w:rPr>
            <w:id w:val="-973132735"/>
          </w:sdtPr>
          <w:sdtEndPr/>
          <w:sdtContent>
            <w:p w14:paraId="0D3193AE" w14:textId="51E9D1B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Receivables and Inventory</w:t>
              </w:r>
            </w:p>
          </w:sdtContent>
        </w:sdt>
        <w:sdt>
          <w:sdtPr>
            <w:rPr>
              <w:rFonts w:asciiTheme="majorHAnsi" w:hAnsiTheme="majorHAnsi" w:cs="Arial"/>
              <w:sz w:val="20"/>
              <w:szCs w:val="20"/>
            </w:rPr>
            <w:id w:val="-1881090455"/>
          </w:sdtPr>
          <w:sdtEndPr/>
          <w:sdtContent>
            <w:p w14:paraId="6E21D392" w14:textId="104E3A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Property, Plant, and Equipment </w:t>
              </w:r>
            </w:p>
          </w:sdtContent>
        </w:sdt>
        <w:sdt>
          <w:sdtPr>
            <w:rPr>
              <w:rFonts w:asciiTheme="majorHAnsi" w:hAnsiTheme="majorHAnsi" w:cs="Arial"/>
              <w:sz w:val="20"/>
              <w:szCs w:val="20"/>
            </w:rPr>
            <w:id w:val="693422321"/>
          </w:sdtPr>
          <w:sdtEndPr/>
          <w:sdtContent>
            <w:p w14:paraId="17DB7B95" w14:textId="4DC2972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 Payables and Taxes</w:t>
              </w:r>
            </w:p>
          </w:sdtContent>
        </w:sdt>
        <w:sdt>
          <w:sdtPr>
            <w:rPr>
              <w:rFonts w:asciiTheme="majorHAnsi" w:hAnsiTheme="majorHAnsi" w:cs="Arial"/>
              <w:sz w:val="20"/>
              <w:szCs w:val="20"/>
            </w:rPr>
            <w:id w:val="586435212"/>
          </w:sdtPr>
          <w:sdtEndPr/>
          <w:sdtContent>
            <w:p w14:paraId="1981774B" w14:textId="40BA739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 Statement of Cash Flows</w:t>
              </w:r>
            </w:p>
          </w:sdtContent>
        </w:sdt>
        <w:p w14:paraId="7FFB6E1B" w14:textId="549A42D5" w:rsidR="00831ADD" w:rsidRPr="008426D1" w:rsidRDefault="00EE03D1"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Week 7 – Government and Not-for-Profit</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1489ECA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 Corporate Governance</w:t>
              </w:r>
            </w:p>
          </w:sdtContent>
        </w:sdt>
        <w:sdt>
          <w:sdtPr>
            <w:rPr>
              <w:rFonts w:asciiTheme="majorHAnsi" w:hAnsiTheme="majorHAnsi" w:cs="Arial"/>
              <w:sz w:val="20"/>
              <w:szCs w:val="20"/>
            </w:rPr>
            <w:id w:val="-1152438815"/>
          </w:sdtPr>
          <w:sdtEndPr/>
          <w:sdtContent>
            <w:p w14:paraId="325BCF93" w14:textId="439DCE1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 Internal Controls</w:t>
              </w:r>
            </w:p>
          </w:sdtContent>
        </w:sdt>
        <w:sdt>
          <w:sdtPr>
            <w:rPr>
              <w:rFonts w:asciiTheme="majorHAnsi" w:hAnsiTheme="majorHAnsi" w:cs="Arial"/>
              <w:sz w:val="20"/>
              <w:szCs w:val="20"/>
            </w:rPr>
            <w:id w:val="531610832"/>
          </w:sdtPr>
          <w:sdtEndPr/>
          <w:sdtContent>
            <w:p w14:paraId="694F8D78" w14:textId="06A6F1F9"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 Economic Concepts</w:t>
              </w:r>
            </w:p>
          </w:sdtContent>
        </w:sdt>
        <w:sdt>
          <w:sdtPr>
            <w:rPr>
              <w:rFonts w:asciiTheme="majorHAnsi" w:hAnsiTheme="majorHAnsi" w:cs="Arial"/>
              <w:sz w:val="20"/>
              <w:szCs w:val="20"/>
            </w:rPr>
            <w:id w:val="-226689461"/>
          </w:sdtPr>
          <w:sdtEndPr/>
          <w:sdtContent>
            <w:p w14:paraId="01D10F9D" w14:textId="793C5D9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 Financial Management</w:t>
              </w:r>
            </w:p>
          </w:sdtContent>
        </w:sdt>
        <w:sdt>
          <w:sdtPr>
            <w:rPr>
              <w:rFonts w:asciiTheme="majorHAnsi" w:hAnsiTheme="majorHAnsi" w:cs="Arial"/>
              <w:sz w:val="20"/>
              <w:szCs w:val="20"/>
            </w:rPr>
            <w:id w:val="757485749"/>
          </w:sdtPr>
          <w:sdtEndPr/>
          <w:sdtContent>
            <w:p w14:paraId="447BADBE" w14:textId="2D5AE48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Information Systems</w:t>
              </w:r>
            </w:p>
          </w:sdtContent>
        </w:sdt>
        <w:sdt>
          <w:sdtPr>
            <w:rPr>
              <w:rFonts w:asciiTheme="majorHAnsi" w:hAnsiTheme="majorHAnsi" w:cs="Arial"/>
              <w:sz w:val="20"/>
              <w:szCs w:val="20"/>
            </w:rPr>
            <w:id w:val="-777414270"/>
          </w:sdtPr>
          <w:sdtEndPr/>
          <w:sdtContent>
            <w:p w14:paraId="2FF1BD6B" w14:textId="369E3EF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Planning and Control</w:t>
              </w:r>
            </w:p>
          </w:sdtContent>
        </w:sdt>
        <w:sdt>
          <w:sdtPr>
            <w:rPr>
              <w:rFonts w:asciiTheme="majorHAnsi" w:hAnsiTheme="majorHAnsi" w:cs="Arial"/>
              <w:sz w:val="20"/>
              <w:szCs w:val="20"/>
            </w:rPr>
            <w:id w:val="749927040"/>
          </w:sdtPr>
          <w:sdtEndPr/>
          <w:sdtContent>
            <w:p w14:paraId="387D0431" w14:textId="79549B46"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Performance Measurement</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EE03D1"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 xml:space="preserve">This review course will improve each students ability to pass the CPA exam by giving them the opportunity to practice accounting concepts and techniques they have learned in earlier course work, exposing them to topics that they have not </w:t>
          </w:r>
          <w:proofErr w:type="spellStart"/>
          <w:r w:rsidR="00E005F4">
            <w:rPr>
              <w:rFonts w:asciiTheme="majorHAnsi" w:hAnsiTheme="majorHAnsi" w:cs="Arial"/>
              <w:sz w:val="20"/>
              <w:szCs w:val="20"/>
            </w:rPr>
            <w:t>see</w:t>
          </w:r>
          <w:proofErr w:type="spellEnd"/>
          <w:r w:rsidR="00E005F4">
            <w:rPr>
              <w:rFonts w:asciiTheme="majorHAnsi" w:hAnsiTheme="majorHAnsi" w:cs="Arial"/>
              <w:sz w:val="20"/>
              <w:szCs w:val="20"/>
            </w:rPr>
            <w:t xml:space="preserv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F55064E" w14:textId="4224C0B3" w:rsidR="00731A8E" w:rsidRPr="00731A8E" w:rsidRDefault="00862FFD" w:rsidP="00731A8E">
          <w:pPr>
            <w:spacing w:after="0" w:line="240" w:lineRule="auto"/>
            <w:ind w:left="360"/>
            <w:rPr>
              <w:rFonts w:asciiTheme="majorHAnsi" w:hAnsiTheme="majorHAnsi"/>
              <w:sz w:val="20"/>
              <w:szCs w:val="20"/>
            </w:rPr>
          </w:pPr>
          <w:r>
            <w:rPr>
              <w:rFonts w:asciiTheme="majorHAnsi" w:hAnsiTheme="majorHAnsi" w:cs="Arial"/>
              <w:sz w:val="20"/>
              <w:szCs w:val="20"/>
            </w:rPr>
            <w:t>Current Graduate Program Objective</w:t>
          </w:r>
          <w:r w:rsidR="00731A8E">
            <w:rPr>
              <w:rFonts w:asciiTheme="majorHAnsi" w:hAnsiTheme="majorHAnsi" w:cs="Arial"/>
              <w:sz w:val="20"/>
              <w:szCs w:val="20"/>
            </w:rPr>
            <w:t xml:space="preserve"> - </w:t>
          </w:r>
          <w:r w:rsidR="00731A8E" w:rsidRPr="00731A8E">
            <w:rPr>
              <w:rFonts w:asciiTheme="majorHAnsi" w:hAnsiTheme="majorHAnsi"/>
              <w:sz w:val="20"/>
              <w:szCs w:val="20"/>
            </w:rPr>
            <w:t>Students will apply quantitative and qualitative knowledge to solve problems and make decisions</w:t>
          </w:r>
          <w:r w:rsidR="00731A8E">
            <w:rPr>
              <w:rFonts w:asciiTheme="majorHAnsi" w:hAnsiTheme="majorHAnsi"/>
              <w:sz w:val="20"/>
              <w:szCs w:val="20"/>
            </w:rPr>
            <w:t xml:space="preserve"> – will be met by teaching students to solve advanced business problems, as tested on the CPA exam.</w:t>
          </w:r>
        </w:p>
        <w:p w14:paraId="77964C95" w14:textId="3D6E663D" w:rsidR="00547433" w:rsidRPr="008426D1" w:rsidRDefault="00EE03D1"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2E07E4B" w:rsidR="00F7007D" w:rsidRPr="002B453A" w:rsidRDefault="00731A8E" w:rsidP="00731A8E">
                <w:pPr>
                  <w:rPr>
                    <w:rFonts w:asciiTheme="majorHAnsi" w:hAnsiTheme="majorHAnsi"/>
                    <w:sz w:val="20"/>
                    <w:szCs w:val="20"/>
                  </w:rPr>
                </w:pPr>
                <w:r w:rsidRPr="00731A8E">
                  <w:rPr>
                    <w:rFonts w:asciiTheme="majorHAnsi" w:hAnsiTheme="majorHAnsi"/>
                    <w:sz w:val="20"/>
                    <w:szCs w:val="20"/>
                  </w:rPr>
                  <w:t>Students will apply quantitative and qualitative knowledge to solve problems and make decisions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EFF6EBA" w:rsidR="00F7007D" w:rsidRPr="002B453A" w:rsidRDefault="00EE03D1" w:rsidP="00731A8E">
            <w:pPr>
              <w:rPr>
                <w:rFonts w:asciiTheme="majorHAnsi" w:hAnsiTheme="majorHAnsi"/>
                <w:sz w:val="20"/>
                <w:szCs w:val="20"/>
              </w:rPr>
            </w:pPr>
            <w:sdt>
              <w:sdtPr>
                <w:rPr>
                  <w:rFonts w:asciiTheme="majorHAnsi" w:hAnsiTheme="majorHAnsi"/>
                  <w:sz w:val="20"/>
                  <w:szCs w:val="20"/>
                </w:rPr>
                <w:id w:val="-1294900252"/>
                <w:text/>
              </w:sdtPr>
              <w:sdtEndPr/>
              <w:sdtContent>
                <w:r w:rsidR="00731A8E">
                  <w:rPr>
                    <w:rFonts w:asciiTheme="majorHAnsi" w:hAnsiTheme="majorHAnsi"/>
                    <w:sz w:val="20"/>
                    <w:szCs w:val="20"/>
                  </w:rPr>
                  <w:t>Direct measure will be obtained by class examination, Indirect measures will be obtained by actual CPA exam results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F8BD30D" w:rsidR="00F7007D" w:rsidRPr="002B453A" w:rsidRDefault="00731A8E" w:rsidP="00731A8E">
                <w:pPr>
                  <w:rPr>
                    <w:rFonts w:asciiTheme="majorHAnsi" w:hAnsiTheme="majorHAnsi"/>
                    <w:sz w:val="20"/>
                    <w:szCs w:val="20"/>
                  </w:rPr>
                </w:pPr>
                <w:r>
                  <w:rPr>
                    <w:rFonts w:asciiTheme="majorHAnsi" w:hAnsiTheme="majorHAnsi"/>
                    <w:sz w:val="20"/>
                    <w:szCs w:val="20"/>
                  </w:rPr>
                  <w:t>Each time the class is given direct measures can be obtained. Indirect measures will be several months after the course is completed.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F208410" w:rsidR="00F7007D" w:rsidRPr="00212A84" w:rsidRDefault="00731A8E" w:rsidP="00731A8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Chair of the Accounting Department will be responsible for overseeing the review course.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D0EBB00" w:rsidR="00CB2125" w:rsidRPr="002B453A" w:rsidRDefault="00EE03D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65266" w:rsidRPr="00C0767C">
                  <w:rPr>
                    <w:rFonts w:asciiTheme="majorHAnsi" w:eastAsiaTheme="minorEastAsia" w:hAnsiTheme="majorHAnsi"/>
                    <w:sz w:val="20"/>
                    <w:szCs w:val="20"/>
                    <w:lang w:eastAsia="ja-JP"/>
                  </w:rPr>
                  <w:t>Direct measure will be obtained by class examination, Indirect measures will be obtained by actual CPA exam results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w:t>
      </w:r>
      <w:proofErr w:type="gramStart"/>
      <w:r w:rsidRPr="005D53E7">
        <w:rPr>
          <w:rFonts w:ascii="Arial" w:hAnsi="Arial" w:cs="Arial"/>
          <w:b/>
          <w:bCs/>
          <w:sz w:val="20"/>
          <w:szCs w:val="20"/>
        </w:rPr>
        <w:t>I</w:t>
      </w:r>
      <w:proofErr w:type="gramEnd"/>
      <w:r w:rsidRPr="005D53E7">
        <w:rPr>
          <w:rFonts w:ascii="Arial" w:hAnsi="Arial" w:cs="Arial"/>
          <w:b/>
          <w:bCs/>
          <w:sz w:val="20"/>
          <w:szCs w:val="20"/>
        </w:rPr>
        <w:t xml:space="preserve">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proofErr w:type="spellStart"/>
      <w:r w:rsidRPr="005D53E7">
        <w:rPr>
          <w:rFonts w:ascii="Arial" w:hAnsi="Arial" w:cs="Arial"/>
          <w:sz w:val="20"/>
          <w:szCs w:val="20"/>
        </w:rPr>
        <w:t>Accounting</w:t>
      </w:r>
      <w:proofErr w:type="spellEnd"/>
      <w:r w:rsidRPr="005D53E7">
        <w:rPr>
          <w:rFonts w:ascii="Arial" w:hAnsi="Arial" w:cs="Arial"/>
          <w:sz w:val="20"/>
          <w:szCs w:val="20"/>
        </w:rPr>
        <w:t xml:space="preserve">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lastRenderedPageBreak/>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2A6EE84F" w:rsidR="005D53E7" w:rsidRPr="005619DC" w:rsidRDefault="0085729D" w:rsidP="005D53E7">
      <w:pPr>
        <w:tabs>
          <w:tab w:val="left" w:pos="360"/>
          <w:tab w:val="left" w:pos="720"/>
        </w:tabs>
        <w:spacing w:after="0" w:line="240" w:lineRule="auto"/>
        <w:rPr>
          <w:rFonts w:ascii="Arial" w:hAnsi="Arial" w:cs="Arial"/>
          <w:b/>
          <w:i/>
          <w:color w:val="1F497D" w:themeColor="text2"/>
          <w:sz w:val="28"/>
          <w:szCs w:val="28"/>
        </w:rPr>
      </w:pPr>
      <w:r w:rsidRPr="005619DC">
        <w:rPr>
          <w:rFonts w:ascii="Arial" w:hAnsi="Arial" w:cs="Arial"/>
          <w:b/>
          <w:i/>
          <w:color w:val="1F497D" w:themeColor="text2"/>
          <w:sz w:val="28"/>
          <w:szCs w:val="28"/>
        </w:rPr>
        <w:t xml:space="preserve">ACCT 6173. </w:t>
      </w:r>
      <w:sdt>
        <w:sdtPr>
          <w:rPr>
            <w:rFonts w:ascii="Arial" w:hAnsi="Arial" w:cs="Arial"/>
            <w:b/>
            <w:i/>
            <w:color w:val="1F497D" w:themeColor="text2"/>
            <w:sz w:val="28"/>
            <w:szCs w:val="28"/>
          </w:rPr>
          <w:id w:val="1922911318"/>
        </w:sdtPr>
        <w:sdtEndPr/>
        <w:sdtContent>
          <w:r w:rsidR="005D53E7" w:rsidRPr="005619DC">
            <w:rPr>
              <w:rFonts w:ascii="Arial" w:hAnsi="Arial" w:cs="Arial"/>
              <w:b/>
              <w:i/>
              <w:color w:val="1F497D" w:themeColor="text2"/>
              <w:sz w:val="28"/>
              <w:szCs w:val="28"/>
            </w:rPr>
            <w:t xml:space="preserve">CPA Examination Review 1 </w:t>
          </w:r>
          <w:sdt>
            <w:sdtPr>
              <w:rPr>
                <w:rFonts w:ascii="Arial" w:hAnsi="Arial" w:cs="Arial"/>
                <w:i/>
                <w:color w:val="1F497D" w:themeColor="text2"/>
                <w:sz w:val="28"/>
                <w:szCs w:val="28"/>
              </w:rPr>
              <w:id w:val="1497531746"/>
            </w:sdtPr>
            <w:sdtEndPr/>
            <w:sdtContent>
              <w:r w:rsidR="005619DC">
                <w:rPr>
                  <w:rFonts w:ascii="Arial" w:hAnsi="Arial" w:cs="Arial"/>
                  <w:i/>
                  <w:color w:val="1F497D" w:themeColor="text2"/>
                  <w:sz w:val="28"/>
                  <w:szCs w:val="28"/>
                </w:rPr>
                <w:t>The c</w:t>
              </w:r>
              <w:r w:rsidR="005D53E7" w:rsidRPr="005619DC">
                <w:rPr>
                  <w:rFonts w:ascii="Arial" w:hAnsi="Arial" w:cs="Arial"/>
                  <w:i/>
                  <w:color w:val="1F497D" w:themeColor="text2"/>
                  <w:sz w:val="28"/>
                  <w:szCs w:val="28"/>
                </w:rPr>
                <w:t>ourse will review the FAR and BEC portions of the CPA exam with a special focus on complex topics and content that is covered less in a traditional accounting degree program but tested on the CPA Exam</w:t>
              </w:r>
            </w:sdtContent>
          </w:sdt>
          <w:r w:rsidR="00ED284E">
            <w:rPr>
              <w:rFonts w:ascii="Arial" w:hAnsi="Arial" w:cs="Arial"/>
              <w:i/>
              <w:color w:val="1F497D" w:themeColor="text2"/>
              <w:sz w:val="28"/>
              <w:szCs w:val="28"/>
            </w:rPr>
            <w:t>.</w:t>
          </w:r>
          <w:r w:rsidR="005D53E7" w:rsidRPr="005619DC">
            <w:rPr>
              <w:rFonts w:ascii="Arial" w:hAnsi="Arial" w:cs="Arial"/>
              <w:i/>
              <w:color w:val="1F497D" w:themeColor="text2"/>
              <w:sz w:val="28"/>
              <w:szCs w:val="28"/>
            </w:rPr>
            <w:t xml:space="preserve"> 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9C9B9" w14:textId="77777777" w:rsidR="00175B0F" w:rsidRDefault="00175B0F" w:rsidP="00AF3758">
      <w:pPr>
        <w:spacing w:after="0" w:line="240" w:lineRule="auto"/>
      </w:pPr>
      <w:r>
        <w:separator/>
      </w:r>
    </w:p>
  </w:endnote>
  <w:endnote w:type="continuationSeparator" w:id="0">
    <w:p w14:paraId="033B1D89" w14:textId="77777777" w:rsidR="00175B0F" w:rsidRDefault="00175B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3D1">
      <w:rPr>
        <w:rStyle w:val="PageNumber"/>
        <w:noProof/>
      </w:rPr>
      <w:t>8</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3754" w14:textId="77777777" w:rsidR="00175B0F" w:rsidRDefault="00175B0F" w:rsidP="00AF3758">
      <w:pPr>
        <w:spacing w:after="0" w:line="240" w:lineRule="auto"/>
      </w:pPr>
      <w:r>
        <w:separator/>
      </w:r>
    </w:p>
  </w:footnote>
  <w:footnote w:type="continuationSeparator" w:id="0">
    <w:p w14:paraId="1834685E" w14:textId="77777777" w:rsidR="00175B0F" w:rsidRDefault="00175B0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4C1D"/>
    <w:rsid w:val="000A654B"/>
    <w:rsid w:val="000D06F1"/>
    <w:rsid w:val="000E0BB8"/>
    <w:rsid w:val="00101FF4"/>
    <w:rsid w:val="00103070"/>
    <w:rsid w:val="00150E96"/>
    <w:rsid w:val="00151451"/>
    <w:rsid w:val="0015192B"/>
    <w:rsid w:val="0015536A"/>
    <w:rsid w:val="00156679"/>
    <w:rsid w:val="00165266"/>
    <w:rsid w:val="00175B0F"/>
    <w:rsid w:val="001830BA"/>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365C"/>
    <w:rsid w:val="004214A9"/>
    <w:rsid w:val="00424133"/>
    <w:rsid w:val="00434AA5"/>
    <w:rsid w:val="00473252"/>
    <w:rsid w:val="00474C39"/>
    <w:rsid w:val="00487771"/>
    <w:rsid w:val="0049675B"/>
    <w:rsid w:val="004A211B"/>
    <w:rsid w:val="004A7706"/>
    <w:rsid w:val="004B6EA4"/>
    <w:rsid w:val="004F3C87"/>
    <w:rsid w:val="00526B81"/>
    <w:rsid w:val="00533648"/>
    <w:rsid w:val="00547433"/>
    <w:rsid w:val="00556E69"/>
    <w:rsid w:val="005619DC"/>
    <w:rsid w:val="005677EC"/>
    <w:rsid w:val="00575870"/>
    <w:rsid w:val="00584C22"/>
    <w:rsid w:val="00592A95"/>
    <w:rsid w:val="005934F2"/>
    <w:rsid w:val="005D53E7"/>
    <w:rsid w:val="005F41DD"/>
    <w:rsid w:val="006019E8"/>
    <w:rsid w:val="00606EE4"/>
    <w:rsid w:val="00610022"/>
    <w:rsid w:val="006179CB"/>
    <w:rsid w:val="006230D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1A8E"/>
    <w:rsid w:val="00750AF6"/>
    <w:rsid w:val="007A06B9"/>
    <w:rsid w:val="007D371A"/>
    <w:rsid w:val="0083170D"/>
    <w:rsid w:val="00831ADD"/>
    <w:rsid w:val="008426D1"/>
    <w:rsid w:val="0085729D"/>
    <w:rsid w:val="00862E36"/>
    <w:rsid w:val="00862FFD"/>
    <w:rsid w:val="008663CA"/>
    <w:rsid w:val="00895557"/>
    <w:rsid w:val="008C6881"/>
    <w:rsid w:val="008C703B"/>
    <w:rsid w:val="008E6C1C"/>
    <w:rsid w:val="00903AB9"/>
    <w:rsid w:val="009053D1"/>
    <w:rsid w:val="00916FCA"/>
    <w:rsid w:val="0096022C"/>
    <w:rsid w:val="00962018"/>
    <w:rsid w:val="00976B5B"/>
    <w:rsid w:val="00983ADC"/>
    <w:rsid w:val="00984490"/>
    <w:rsid w:val="00992420"/>
    <w:rsid w:val="009A529F"/>
    <w:rsid w:val="00A01035"/>
    <w:rsid w:val="00A0329C"/>
    <w:rsid w:val="00A03C02"/>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235"/>
    <w:rsid w:val="00CB4B5A"/>
    <w:rsid w:val="00CC6C15"/>
    <w:rsid w:val="00CE6F34"/>
    <w:rsid w:val="00D0686A"/>
    <w:rsid w:val="00D103A0"/>
    <w:rsid w:val="00D20B84"/>
    <w:rsid w:val="00D51205"/>
    <w:rsid w:val="00D57716"/>
    <w:rsid w:val="00D67AC4"/>
    <w:rsid w:val="00D979DD"/>
    <w:rsid w:val="00E005F4"/>
    <w:rsid w:val="00E322A3"/>
    <w:rsid w:val="00E41F8D"/>
    <w:rsid w:val="00E45868"/>
    <w:rsid w:val="00E70B06"/>
    <w:rsid w:val="00E90913"/>
    <w:rsid w:val="00EA757C"/>
    <w:rsid w:val="00EC52BB"/>
    <w:rsid w:val="00EC5D93"/>
    <w:rsid w:val="00EC6970"/>
    <w:rsid w:val="00ED284E"/>
    <w:rsid w:val="00ED5E7F"/>
    <w:rsid w:val="00EE03D1"/>
    <w:rsid w:val="00EE2479"/>
    <w:rsid w:val="00EF2038"/>
    <w:rsid w:val="00EF2A44"/>
    <w:rsid w:val="00EF59AD"/>
    <w:rsid w:val="00EF72BB"/>
    <w:rsid w:val="00F24EE6"/>
    <w:rsid w:val="00F3261D"/>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1D683E6-2586-459C-97E7-E68021A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F10AB"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F10AB"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F10AB"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F10AB"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F10AB"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F10AB"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F10AB"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571D85787BFF3143940B1326FC2694AA"/>
        <w:category>
          <w:name w:val="General"/>
          <w:gallery w:val="placeholder"/>
        </w:category>
        <w:types>
          <w:type w:val="bbPlcHdr"/>
        </w:types>
        <w:behaviors>
          <w:behavior w:val="content"/>
        </w:behaviors>
        <w:guid w:val="{64C89E70-DAB7-7345-AAA2-0CBC841EDE9D}"/>
      </w:docPartPr>
      <w:docPartBody>
        <w:p w:rsidR="003F10AB" w:rsidRDefault="003F10AB" w:rsidP="003F10AB">
          <w:pPr>
            <w:pStyle w:val="571D85787BFF3143940B1326FC2694A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F10AB"/>
    <w:rsid w:val="004101E1"/>
    <w:rsid w:val="00436B57"/>
    <w:rsid w:val="004E1A75"/>
    <w:rsid w:val="00576003"/>
    <w:rsid w:val="00587536"/>
    <w:rsid w:val="005D5D2F"/>
    <w:rsid w:val="00607CD0"/>
    <w:rsid w:val="00623293"/>
    <w:rsid w:val="00654E35"/>
    <w:rsid w:val="006C3910"/>
    <w:rsid w:val="007407FA"/>
    <w:rsid w:val="008822A5"/>
    <w:rsid w:val="00891F77"/>
    <w:rsid w:val="009D439F"/>
    <w:rsid w:val="00A20583"/>
    <w:rsid w:val="00AD5D56"/>
    <w:rsid w:val="00B2559E"/>
    <w:rsid w:val="00B46AFF"/>
    <w:rsid w:val="00B72454"/>
    <w:rsid w:val="00BA0596"/>
    <w:rsid w:val="00BE0E7B"/>
    <w:rsid w:val="00CB25D5"/>
    <w:rsid w:val="00CD4EF8"/>
    <w:rsid w:val="00D87B77"/>
    <w:rsid w:val="00DD12EE"/>
    <w:rsid w:val="00E836F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C431-CFD0-47D0-8C43-EEEBBE3D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2016-11-08T19:01:00Z</dcterms:created>
  <dcterms:modified xsi:type="dcterms:W3CDTF">2016-11-08T19:01:00Z</dcterms:modified>
</cp:coreProperties>
</file>