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26" w:rsidRDefault="0037502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75026">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375026" w:rsidRDefault="00E0656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375026">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75026" w:rsidRDefault="00E0656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375026" w:rsidRDefault="00375026"/>
        </w:tc>
      </w:tr>
      <w:tr w:rsidR="00375026">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375026" w:rsidRDefault="00E0656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375026" w:rsidRDefault="00375026"/>
        </w:tc>
      </w:tr>
    </w:tbl>
    <w:p w:rsidR="00375026" w:rsidRDefault="00375026"/>
    <w:p w:rsidR="00375026" w:rsidRDefault="00E06569">
      <w:pPr>
        <w:jc w:val="center"/>
        <w:rPr>
          <w:rFonts w:ascii="Cambria" w:eastAsia="Cambria" w:hAnsi="Cambria" w:cs="Cambria"/>
          <w:b/>
          <w:sz w:val="34"/>
          <w:szCs w:val="34"/>
        </w:rPr>
      </w:pPr>
      <w:r>
        <w:rPr>
          <w:rFonts w:ascii="Cambria" w:eastAsia="Cambria" w:hAnsi="Cambria" w:cs="Cambria"/>
          <w:b/>
          <w:sz w:val="34"/>
          <w:szCs w:val="34"/>
        </w:rPr>
        <w:t>New Course Proposal Form</w:t>
      </w:r>
    </w:p>
    <w:p w:rsidR="00375026" w:rsidRDefault="00E06569">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375026" w:rsidRDefault="00E0656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75026">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375026" w:rsidRDefault="00E0656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rsidR="00375026" w:rsidRDefault="00E0656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375026" w:rsidRDefault="00E06569">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75026">
        <w:trPr>
          <w:trHeight w:val="1080"/>
        </w:trPr>
        <w:tc>
          <w:tcPr>
            <w:tcW w:w="5451" w:type="dxa"/>
            <w:vAlign w:val="center"/>
          </w:tcPr>
          <w:p w:rsidR="00375026" w:rsidRDefault="00E06569">
            <w:pPr>
              <w:rPr>
                <w:rFonts w:ascii="Cambria" w:eastAsia="Cambria" w:hAnsi="Cambria" w:cs="Cambria"/>
                <w:sz w:val="20"/>
                <w:szCs w:val="20"/>
              </w:rPr>
            </w:pPr>
            <w:r>
              <w:rPr>
                <w:rFonts w:ascii="Cambria" w:eastAsia="Cambria" w:hAnsi="Cambria" w:cs="Cambria"/>
                <w:sz w:val="20"/>
                <w:szCs w:val="20"/>
              </w:rPr>
              <w:t xml:space="preserve">Rhonda Holcomb </w:t>
            </w:r>
            <w:r w:rsidR="00995BE1">
              <w:rPr>
                <w:rFonts w:ascii="Cambria" w:eastAsia="Cambria" w:hAnsi="Cambria" w:cs="Cambria"/>
                <w:sz w:val="20"/>
                <w:szCs w:val="20"/>
              </w:rPr>
              <w:t xml:space="preserve">                                                     </w:t>
            </w:r>
            <w:r>
              <w:rPr>
                <w:rFonts w:ascii="Cambria" w:eastAsia="Cambria" w:hAnsi="Cambria" w:cs="Cambria"/>
                <w:smallCaps/>
                <w:sz w:val="20"/>
                <w:szCs w:val="20"/>
              </w:rPr>
              <w:t>9/19/2019</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375026" w:rsidRDefault="00E0656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375026" w:rsidRDefault="00E06569">
            <w:pPr>
              <w:rPr>
                <w:rFonts w:ascii="Cambria" w:eastAsia="Cambria" w:hAnsi="Cambria" w:cs="Cambria"/>
                <w:sz w:val="20"/>
                <w:szCs w:val="20"/>
              </w:rPr>
            </w:pPr>
            <w:r>
              <w:rPr>
                <w:rFonts w:ascii="Cambria" w:eastAsia="Cambria" w:hAnsi="Cambria" w:cs="Cambria"/>
                <w:b/>
                <w:sz w:val="20"/>
                <w:szCs w:val="20"/>
              </w:rPr>
              <w:t>COPE Chair (if applicable)</w:t>
            </w:r>
          </w:p>
        </w:tc>
      </w:tr>
      <w:tr w:rsidR="00375026">
        <w:trPr>
          <w:trHeight w:val="1080"/>
        </w:trPr>
        <w:tc>
          <w:tcPr>
            <w:tcW w:w="5451" w:type="dxa"/>
            <w:vAlign w:val="center"/>
          </w:tcPr>
          <w:p w:rsidR="00375026" w:rsidRDefault="00E06569">
            <w:pPr>
              <w:rPr>
                <w:rFonts w:ascii="Cambria" w:eastAsia="Cambria" w:hAnsi="Cambria" w:cs="Cambria"/>
                <w:sz w:val="20"/>
                <w:szCs w:val="20"/>
              </w:rPr>
            </w:pPr>
            <w:r>
              <w:rPr>
                <w:rFonts w:ascii="Cambria" w:eastAsia="Cambria" w:hAnsi="Cambria" w:cs="Cambria"/>
                <w:sz w:val="20"/>
                <w:szCs w:val="20"/>
              </w:rPr>
              <w:t>Stacy E. Walz</w:t>
            </w:r>
            <w:r w:rsidR="00995BE1">
              <w:rPr>
                <w:rFonts w:ascii="Cambria" w:eastAsia="Cambria" w:hAnsi="Cambria" w:cs="Cambria"/>
                <w:sz w:val="20"/>
                <w:szCs w:val="20"/>
              </w:rPr>
              <w:t xml:space="preserve">                                                             10/15/2019</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rsidR="00375026" w:rsidRDefault="00E065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375026" w:rsidRDefault="00E0656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75026">
        <w:trPr>
          <w:trHeight w:val="1080"/>
        </w:trPr>
        <w:tc>
          <w:tcPr>
            <w:tcW w:w="5451" w:type="dxa"/>
            <w:vAlign w:val="center"/>
          </w:tcPr>
          <w:p w:rsidR="00375026" w:rsidRPr="00F84EEF" w:rsidRDefault="00F84EEF" w:rsidP="00F84EEF">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 xml:space="preserve">Shanon Brantley                                       </w:t>
            </w:r>
            <w:r w:rsidR="00E0656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10/18/2019</w:t>
            </w:r>
            <w:r w:rsidR="00E06569">
              <w:rPr>
                <w:rFonts w:ascii="Cambria" w:eastAsia="Cambria" w:hAnsi="Cambria" w:cs="Cambria"/>
                <w:sz w:val="20"/>
                <w:szCs w:val="20"/>
              </w:rPr>
              <w:br/>
            </w:r>
            <w:r w:rsidR="00E06569">
              <w:rPr>
                <w:rFonts w:ascii="Cambria" w:eastAsia="Cambria" w:hAnsi="Cambria" w:cs="Cambria"/>
                <w:b/>
                <w:sz w:val="20"/>
                <w:szCs w:val="20"/>
              </w:rPr>
              <w:t>College Curriculum Committee Chair</w:t>
            </w:r>
          </w:p>
        </w:tc>
        <w:tc>
          <w:tcPr>
            <w:tcW w:w="5451" w:type="dxa"/>
            <w:vAlign w:val="center"/>
          </w:tcPr>
          <w:p w:rsidR="00375026" w:rsidRDefault="00E065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375026" w:rsidRDefault="00E0656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75026">
        <w:trPr>
          <w:trHeight w:val="1080"/>
        </w:trPr>
        <w:tc>
          <w:tcPr>
            <w:tcW w:w="5451" w:type="dxa"/>
            <w:vAlign w:val="center"/>
          </w:tcPr>
          <w:p w:rsidR="00352270" w:rsidRDefault="00352270" w:rsidP="00352270">
            <w:pPr>
              <w:rPr>
                <w:rFonts w:asciiTheme="majorHAnsi" w:hAnsiTheme="majorHAnsi"/>
                <w:smallCaps/>
                <w:sz w:val="20"/>
                <w:szCs w:val="20"/>
              </w:rPr>
            </w:pPr>
            <w:r w:rsidRPr="00352270">
              <w:rPr>
                <w:rFonts w:ascii="Cambria" w:eastAsia="Cambria" w:hAnsi="Cambria" w:cs="Cambria"/>
                <w:color w:val="808080"/>
                <w:sz w:val="24"/>
                <w:szCs w:val="52"/>
                <w:shd w:val="clear" w:color="auto" w:fill="D9D9D9"/>
              </w:rPr>
              <w:t xml:space="preserve">Susan Hanrahan         </w:t>
            </w:r>
            <w:r w:rsidRPr="00352270">
              <w:rPr>
                <w:rFonts w:asciiTheme="majorHAnsi" w:hAnsiTheme="majorHAnsi"/>
                <w:smallCaps/>
                <w:sz w:val="20"/>
                <w:szCs w:val="20"/>
              </w:rPr>
              <w:t xml:space="preserve">                        </w:t>
            </w:r>
            <w:r>
              <w:rPr>
                <w:rFonts w:asciiTheme="majorHAnsi" w:hAnsiTheme="majorHAnsi"/>
                <w:smallCaps/>
                <w:sz w:val="20"/>
                <w:szCs w:val="20"/>
              </w:rPr>
              <w:t xml:space="preserve">        </w:t>
            </w:r>
            <w:bookmarkStart w:id="1" w:name="_GoBack"/>
            <w:bookmarkEnd w:id="1"/>
            <w:r w:rsidRPr="00352270">
              <w:rPr>
                <w:rFonts w:asciiTheme="majorHAnsi" w:hAnsiTheme="majorHAnsi"/>
                <w:smallCaps/>
                <w:sz w:val="20"/>
                <w:szCs w:val="20"/>
              </w:rPr>
              <w:t xml:space="preserve">             </w:t>
            </w:r>
            <w:r w:rsidR="00E06569" w:rsidRPr="00352270">
              <w:rPr>
                <w:rFonts w:asciiTheme="majorHAnsi" w:hAnsiTheme="majorHAnsi"/>
                <w:smallCaps/>
                <w:sz w:val="20"/>
                <w:szCs w:val="20"/>
              </w:rPr>
              <w:t xml:space="preserve"> </w:t>
            </w:r>
            <w:sdt>
              <w:sdtPr>
                <w:rPr>
                  <w:rFonts w:asciiTheme="majorHAnsi" w:hAnsiTheme="majorHAnsi"/>
                  <w:smallCaps/>
                  <w:sz w:val="20"/>
                  <w:szCs w:val="20"/>
                </w:rPr>
                <w:id w:val="65069709"/>
                <w:placeholder>
                  <w:docPart w:val="E09976DB2F8E4B739C5706AF805C4FB9"/>
                </w:placeholder>
                <w:date w:fullDate="2019-10-24T00:00:00Z">
                  <w:dateFormat w:val="M/d/yyyy"/>
                  <w:lid w:val="en-US"/>
                  <w:storeMappedDataAs w:val="dateTime"/>
                  <w:calendar w:val="gregorian"/>
                </w:date>
              </w:sdtPr>
              <w:sdtContent>
                <w:r>
                  <w:rPr>
                    <w:rFonts w:asciiTheme="majorHAnsi" w:hAnsiTheme="majorHAnsi"/>
                    <w:smallCaps/>
                    <w:sz w:val="20"/>
                    <w:szCs w:val="20"/>
                  </w:rPr>
                  <w:t>10/24/2019</w:t>
                </w:r>
              </w:sdtContent>
            </w:sdt>
          </w:p>
          <w:p w:rsidR="00375026" w:rsidRDefault="00E06569" w:rsidP="00352270">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375026" w:rsidRDefault="00E065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375026" w:rsidRDefault="00E0656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75026">
        <w:trPr>
          <w:trHeight w:val="1080"/>
        </w:trPr>
        <w:tc>
          <w:tcPr>
            <w:tcW w:w="5451" w:type="dxa"/>
            <w:vAlign w:val="center"/>
          </w:tcPr>
          <w:p w:rsidR="00375026" w:rsidRDefault="00375026">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375026">
              <w:trPr>
                <w:trHeight w:val="100"/>
              </w:trPr>
              <w:tc>
                <w:tcPr>
                  <w:tcW w:w="3689" w:type="dxa"/>
                  <w:vAlign w:val="bottom"/>
                </w:tcPr>
                <w:p w:rsidR="00375026" w:rsidRDefault="00E0656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rsidR="00375026" w:rsidRDefault="00E0656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375026" w:rsidRDefault="00E06569">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375026" w:rsidRDefault="00E0656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375026" w:rsidRDefault="00E06569">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375026" w:rsidRDefault="00375026">
      <w:pPr>
        <w:pBdr>
          <w:bottom w:val="single" w:sz="12" w:space="1" w:color="000000"/>
        </w:pBdr>
        <w:rPr>
          <w:rFonts w:ascii="Cambria" w:eastAsia="Cambria" w:hAnsi="Cambria" w:cs="Cambria"/>
          <w:sz w:val="20"/>
          <w:szCs w:val="20"/>
        </w:rPr>
      </w:pP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Rhonda Holcomb, </w:t>
      </w:r>
      <w:hyperlink r:id="rId9">
        <w:r>
          <w:rPr>
            <w:rFonts w:ascii="Cambria" w:eastAsia="Cambria" w:hAnsi="Cambria" w:cs="Cambria"/>
            <w:color w:val="0000FF"/>
            <w:sz w:val="20"/>
            <w:szCs w:val="20"/>
            <w:u w:val="single"/>
          </w:rPr>
          <w:t>rholcomb@astate.edu</w:t>
        </w:r>
      </w:hyperlink>
      <w:r>
        <w:rPr>
          <w:rFonts w:ascii="Cambria" w:eastAsia="Cambria" w:hAnsi="Cambria" w:cs="Cambria"/>
          <w:sz w:val="20"/>
          <w:szCs w:val="20"/>
        </w:rPr>
        <w:t>, 680-4863</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2021</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w:t>
      </w:r>
      <w:r>
        <w:rPr>
          <w:rFonts w:ascii="Cambria" w:eastAsia="Cambria" w:hAnsi="Cambria" w:cs="Cambria"/>
          <w:sz w:val="20"/>
          <w:szCs w:val="20"/>
        </w:rPr>
        <w:t>. )</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3343</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Quality Improvement</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covers operations management, organizational behavior, and healthcare service delivery with a broad focus on the philosophy and processes of Continuous Quality Improvement (CQI) and the challenges of implementation, using examples from a variety of health care organizations</w:t>
      </w:r>
      <w:r w:rsidRPr="00995BE1">
        <w:rPr>
          <w:rFonts w:ascii="Cambria" w:eastAsia="Cambria" w:hAnsi="Cambria" w:cs="Cambria"/>
          <w:sz w:val="20"/>
          <w:szCs w:val="20"/>
        </w:rPr>
        <w:t>.</w:t>
      </w:r>
      <w:r w:rsidR="00995BE1" w:rsidRPr="00995BE1">
        <w:rPr>
          <w:rFonts w:ascii="Cambria" w:eastAsia="Cambria" w:hAnsi="Cambria" w:cs="Cambria"/>
          <w:sz w:val="20"/>
          <w:szCs w:val="20"/>
        </w:rPr>
        <w:t xml:space="preserve"> </w:t>
      </w:r>
      <w:r w:rsidR="00F84EEF">
        <w:rPr>
          <w:rFonts w:ascii="Cambria" w:eastAsia="Cambria" w:hAnsi="Cambria" w:cs="Cambria"/>
          <w:sz w:val="20"/>
          <w:szCs w:val="20"/>
        </w:rPr>
        <w:t>Spring.</w:t>
      </w:r>
      <w:r w:rsidR="00995BE1">
        <w:rPr>
          <w:rFonts w:ascii="Cambria" w:eastAsia="Cambria" w:hAnsi="Cambria" w:cs="Cambria"/>
          <w:sz w:val="20"/>
          <w:szCs w:val="20"/>
        </w:rPr>
        <w:t xml:space="preserve">       </w:t>
      </w:r>
      <w:r w:rsidR="00995BE1" w:rsidRPr="00995BE1">
        <w:rPr>
          <w:rFonts w:ascii="Cambria" w:eastAsia="Cambria" w:hAnsi="Cambria" w:cs="Cambria"/>
          <w:color w:val="FF0000"/>
          <w:sz w:val="20"/>
          <w:szCs w:val="20"/>
        </w:rPr>
        <w:t xml:space="preserve"> </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rsidR="00375026" w:rsidRDefault="00E06569">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rsidR="00375026" w:rsidRDefault="00E06569">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375026" w:rsidRDefault="00E0656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HP 2112 Introduction to the U.S. Healthcare System</w:t>
      </w:r>
    </w:p>
    <w:p w:rsidR="00375026" w:rsidRDefault="00E0656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375026" w:rsidRDefault="00E06569">
      <w:pPr>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HP 2112 provides foundational information about the U.S. healthcare system and is required before any other HP courses may be taken.</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rsidR="00375026" w:rsidRDefault="00E0656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 in Health Studies, both professional track and non-professional track</w:t>
      </w:r>
    </w:p>
    <w:p w:rsidR="00375026" w:rsidRDefault="00375026">
      <w:pPr>
        <w:tabs>
          <w:tab w:val="left" w:pos="360"/>
          <w:tab w:val="left" w:pos="720"/>
        </w:tabs>
        <w:spacing w:after="0"/>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r>
        <w:rPr>
          <w:rFonts w:ascii="Cambria" w:eastAsia="Cambria" w:hAnsi="Cambria" w:cs="Cambria"/>
          <w:i/>
          <w:color w:val="FF0000"/>
          <w:sz w:val="20"/>
          <w:szCs w:val="20"/>
        </w:rPr>
        <w:t>Not applicable to Graduate courses.</w:t>
      </w:r>
    </w:p>
    <w:p w:rsidR="00375026" w:rsidRDefault="00375026">
      <w:pPr>
        <w:tabs>
          <w:tab w:val="left" w:pos="360"/>
          <w:tab w:val="left" w:pos="720"/>
        </w:tabs>
        <w:spacing w:after="0" w:line="240" w:lineRule="auto"/>
        <w:rPr>
          <w:rFonts w:ascii="Cambria" w:eastAsia="Cambria" w:hAnsi="Cambria" w:cs="Cambria"/>
          <w:color w:val="FF0000"/>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Is this course dual listed (undergraduate/graduate)?                    NO/undergraduate only</w:t>
      </w:r>
    </w:p>
    <w:p w:rsidR="00375026" w:rsidRDefault="00375026">
      <w:pPr>
        <w:tabs>
          <w:tab w:val="left" w:pos="360"/>
        </w:tabs>
        <w:spacing w:after="0" w:line="240" w:lineRule="auto"/>
        <w:rPr>
          <w:rFonts w:ascii="Cambria" w:eastAsia="Cambria" w:hAnsi="Cambria" w:cs="Cambria"/>
          <w:sz w:val="20"/>
          <w:szCs w:val="20"/>
        </w:rPr>
      </w:pPr>
    </w:p>
    <w:p w:rsidR="00375026" w:rsidRDefault="00375026">
      <w:pPr>
        <w:tabs>
          <w:tab w:val="left" w:pos="36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rsidR="00375026" w:rsidRDefault="00E0656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rsidR="00375026" w:rsidRDefault="00375026">
      <w:pPr>
        <w:tabs>
          <w:tab w:val="left" w:pos="36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rsidR="00375026" w:rsidRDefault="00E06569">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rsidR="00375026" w:rsidRDefault="00E0656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rsidR="00375026" w:rsidRDefault="00E06569">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rsidR="00375026" w:rsidRDefault="00375026">
      <w:pPr>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rsidR="00375026" w:rsidRDefault="00E0656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375026" w:rsidRDefault="00375026">
      <w:pPr>
        <w:tabs>
          <w:tab w:val="left" w:pos="360"/>
          <w:tab w:val="left" w:pos="720"/>
        </w:tabs>
        <w:spacing w:after="0" w:line="240" w:lineRule="auto"/>
        <w:rPr>
          <w:rFonts w:ascii="Cambria" w:eastAsia="Cambria" w:hAnsi="Cambria" w:cs="Cambria"/>
          <w:b/>
          <w:sz w:val="20"/>
          <w:szCs w:val="20"/>
        </w:rPr>
      </w:pPr>
    </w:p>
    <w:p w:rsidR="00375026" w:rsidRDefault="00E06569">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13.  NO </w:t>
      </w:r>
      <w:r>
        <w:rPr>
          <w:rFonts w:ascii="Cambria" w:eastAsia="Cambria" w:hAnsi="Cambria" w:cs="Cambria"/>
          <w:sz w:val="20"/>
          <w:szCs w:val="20"/>
        </w:rPr>
        <w:tab/>
        <w:t xml:space="preserve">Does this course replace a course being deleted? </w:t>
      </w:r>
    </w:p>
    <w:p w:rsidR="00375026" w:rsidRDefault="00E06569">
      <w:pPr>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If yes, what course?  </w:t>
      </w:r>
    </w:p>
    <w:p w:rsidR="00375026" w:rsidRDefault="00E0656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375026" w:rsidRDefault="00E06569">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14.  NO </w:t>
      </w:r>
      <w:r>
        <w:rPr>
          <w:rFonts w:ascii="Cambria" w:eastAsia="Cambria" w:hAnsi="Cambria" w:cs="Cambria"/>
          <w:sz w:val="20"/>
          <w:szCs w:val="20"/>
        </w:rPr>
        <w:tab/>
        <w:t xml:space="preserve">Will this course be equivalent to a deleted course?   </w:t>
      </w:r>
    </w:p>
    <w:p w:rsidR="00375026" w:rsidRDefault="00E06569">
      <w:pPr>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If yes, which course?  </w:t>
      </w:r>
    </w:p>
    <w:p w:rsidR="00375026" w:rsidRDefault="00E0656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375026" w:rsidRDefault="00375026">
      <w:pPr>
        <w:tabs>
          <w:tab w:val="left" w:pos="360"/>
        </w:tabs>
        <w:spacing w:after="0"/>
        <w:rPr>
          <w:rFonts w:ascii="Cambria" w:eastAsia="Cambria" w:hAnsi="Cambria" w:cs="Cambria"/>
          <w:sz w:val="20"/>
          <w:szCs w:val="20"/>
        </w:rPr>
      </w:pPr>
    </w:p>
    <w:p w:rsidR="00375026" w:rsidRDefault="00E06569">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Has it been confirmed that this course number is available for use? </w:t>
      </w:r>
    </w:p>
    <w:p w:rsidR="00375026" w:rsidRDefault="00E06569">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color w:val="FF0000"/>
          <w:sz w:val="20"/>
          <w:szCs w:val="20"/>
        </w:rPr>
        <w:t xml:space="preserve"> </w:t>
      </w:r>
    </w:p>
    <w:p w:rsidR="00375026" w:rsidRDefault="00375026">
      <w:pPr>
        <w:tabs>
          <w:tab w:val="left" w:pos="360"/>
        </w:tabs>
        <w:spacing w:after="0"/>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rsidR="00375026" w:rsidRDefault="00E0656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rsidR="00375026" w:rsidRDefault="00E06569">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rsidR="00375026" w:rsidRDefault="00E06569">
      <w:pPr>
        <w:rPr>
          <w:rFonts w:ascii="Cambria" w:eastAsia="Cambria" w:hAnsi="Cambria" w:cs="Cambria"/>
          <w:b/>
          <w:sz w:val="28"/>
          <w:szCs w:val="28"/>
        </w:rPr>
      </w:pPr>
      <w:r>
        <w:br w:type="page"/>
      </w:r>
    </w:p>
    <w:p w:rsidR="00375026" w:rsidRDefault="00E0656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rsidR="00375026" w:rsidRDefault="00375026">
      <w:pPr>
        <w:tabs>
          <w:tab w:val="left" w:pos="360"/>
          <w:tab w:val="left" w:pos="720"/>
        </w:tabs>
        <w:spacing w:after="0" w:line="240" w:lineRule="auto"/>
        <w:jc w:val="center"/>
        <w:rPr>
          <w:rFonts w:ascii="Cambria" w:eastAsia="Cambria" w:hAnsi="Cambria" w:cs="Cambria"/>
          <w:b/>
          <w:sz w:val="28"/>
          <w:szCs w:val="28"/>
        </w:rPr>
      </w:pPr>
    </w:p>
    <w:p w:rsidR="00375026" w:rsidRDefault="00E0656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rsidR="00375026" w:rsidRDefault="00375026">
      <w:pPr>
        <w:tabs>
          <w:tab w:val="left" w:pos="360"/>
          <w:tab w:val="left" w:pos="720"/>
        </w:tabs>
        <w:spacing w:after="0"/>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The Global Evolution of Continuous Quality Improvement: From Japanese Manufacturing to Global Health Services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 Factors Influencing the Application and Diffusion of Continuous Quality Improvement in Healthcare</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3 Integrating Implementation Science Approaches into CQI-models and frameworks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 Understanding Variation, Tools, and Data Sources for CQI in Health Care</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Lean and Six Sigma Management:  Building a Foundation for Optimal Patient Care Using Patient Flow Physics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Understanding and Improving Team Effectiveness in Quality Improvement-quality improvement teams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7 The Role of the Patient in Continuous Quality Improvement</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A Social Marketing Approach to Increase Adoption of CQI Initiatives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9 Assessing Risk and Preventing Harm in the Clinical Microsystem-risk management, models of risk management, role of risk management and patient disclosure</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Classification and the Reduction of Medical Errors-why classify safety events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CQI in U.S. Public Health Organizations:  Widespread Adoption and Institutionalization</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Health Service Accreditation:  A Strategy to Promote and Improve Safety and Quality</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Quality Improvement in Low-and Middle-Income Countries-examples of effective QI implementation in low resource settings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Future Trends and Challenges for CQI in Health Care</w:t>
      </w:r>
    </w:p>
    <w:p w:rsidR="00375026" w:rsidRDefault="00375026">
      <w:pPr>
        <w:tabs>
          <w:tab w:val="left" w:pos="360"/>
          <w:tab w:val="left" w:pos="720"/>
        </w:tabs>
        <w:spacing w:after="0" w:line="240" w:lineRule="auto"/>
        <w:ind w:left="360"/>
        <w:rPr>
          <w:rFonts w:ascii="Cambria" w:eastAsia="Cambria" w:hAnsi="Cambria" w:cs="Cambria"/>
          <w:sz w:val="20"/>
          <w:szCs w:val="20"/>
        </w:rPr>
      </w:pP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rsidR="00375026" w:rsidRDefault="00E0656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375026" w:rsidRDefault="00375026">
      <w:pPr>
        <w:tabs>
          <w:tab w:val="left" w:pos="360"/>
          <w:tab w:val="left" w:pos="720"/>
        </w:tabs>
        <w:spacing w:after="0" w:line="240" w:lineRule="auto"/>
        <w:rPr>
          <w:rFonts w:ascii="Cambria" w:eastAsia="Cambria" w:hAnsi="Cambria" w:cs="Cambria"/>
          <w:b/>
          <w:sz w:val="24"/>
          <w:szCs w:val="24"/>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rsidR="00375026" w:rsidRDefault="00E0656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375026" w:rsidRDefault="00375026">
      <w:pPr>
        <w:tabs>
          <w:tab w:val="left" w:pos="360"/>
          <w:tab w:val="left" w:pos="720"/>
        </w:tabs>
        <w:spacing w:after="0"/>
        <w:rPr>
          <w:rFonts w:ascii="Cambria" w:eastAsia="Cambria" w:hAnsi="Cambria" w:cs="Cambria"/>
          <w:b/>
          <w:u w:val="single"/>
        </w:rPr>
      </w:pPr>
    </w:p>
    <w:p w:rsidR="00375026" w:rsidRDefault="00375026">
      <w:pPr>
        <w:tabs>
          <w:tab w:val="left" w:pos="360"/>
          <w:tab w:val="left" w:pos="720"/>
        </w:tabs>
        <w:spacing w:after="0"/>
        <w:rPr>
          <w:rFonts w:ascii="Cambria" w:eastAsia="Cambria" w:hAnsi="Cambria" w:cs="Cambria"/>
          <w:b/>
          <w:u w:val="single"/>
        </w:rPr>
      </w:pPr>
    </w:p>
    <w:p w:rsidR="00375026" w:rsidRDefault="00E06569">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rsidR="00375026" w:rsidRDefault="00E0656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rsidR="00375026" w:rsidRDefault="00E0656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375026" w:rsidRDefault="00375026">
      <w:pPr>
        <w:tabs>
          <w:tab w:val="left" w:pos="360"/>
          <w:tab w:val="left" w:pos="720"/>
        </w:tabs>
        <w:spacing w:after="0"/>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NURS 3353 Aging and the Older Adult is being replaced in this program but not in any other curriculum- the course is designed for nursing students and is graded on a different scale than the Health Studies program—3/4 of all courses in the Health Studies Program includes very specific information on the Aging and the Elderly, so having a stand-alone course on the topic is redundant. As quality improvement has been noted in all Healthy People reports and medical error prevention is a high priority for health care facilities, it is vital that students in the health studies program are aware of what CQI is, how it impacts patients and families, the tools used to achieve excellence, teams that involve CQI and outcomes achieved.</w:t>
      </w:r>
    </w:p>
    <w:p w:rsidR="00375026" w:rsidRDefault="00375026">
      <w:pPr>
        <w:tabs>
          <w:tab w:val="left" w:pos="360"/>
          <w:tab w:val="left" w:pos="720"/>
        </w:tabs>
        <w:spacing w:after="0"/>
        <w:rPr>
          <w:rFonts w:ascii="Cambria" w:eastAsia="Cambria" w:hAnsi="Cambria" w:cs="Cambria"/>
          <w:sz w:val="20"/>
          <w:szCs w:val="20"/>
        </w:rPr>
      </w:pPr>
    </w:p>
    <w:p w:rsidR="00375026" w:rsidRDefault="00E065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rsidR="00375026" w:rsidRDefault="00E0656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is essential to the learning of students in the field of healthcare.</w:t>
      </w:r>
    </w:p>
    <w:p w:rsidR="00375026" w:rsidRDefault="00375026">
      <w:pPr>
        <w:tabs>
          <w:tab w:val="left" w:pos="360"/>
          <w:tab w:val="left" w:pos="810"/>
        </w:tabs>
        <w:spacing w:after="0"/>
        <w:ind w:left="360"/>
        <w:rPr>
          <w:rFonts w:ascii="Cambria" w:eastAsia="Cambria" w:hAnsi="Cambria" w:cs="Cambria"/>
          <w:sz w:val="20"/>
          <w:szCs w:val="20"/>
        </w:rPr>
      </w:pPr>
    </w:p>
    <w:p w:rsidR="00375026" w:rsidRDefault="00E065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375026" w:rsidRDefault="00E0656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Bachelor of Science in Health Studies Program Students</w:t>
      </w:r>
    </w:p>
    <w:p w:rsidR="00375026" w:rsidRDefault="00375026">
      <w:pPr>
        <w:tabs>
          <w:tab w:val="left" w:pos="360"/>
          <w:tab w:val="left" w:pos="810"/>
        </w:tabs>
        <w:spacing w:after="0"/>
        <w:ind w:left="360"/>
        <w:rPr>
          <w:rFonts w:ascii="Cambria" w:eastAsia="Cambria" w:hAnsi="Cambria" w:cs="Cambria"/>
          <w:sz w:val="20"/>
          <w:szCs w:val="20"/>
        </w:rPr>
      </w:pPr>
    </w:p>
    <w:p w:rsidR="00375026" w:rsidRDefault="00E0656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375026" w:rsidRDefault="00E0656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Upper level- this course is a major requirement course, a junior level with very specific and expanded information on Continuous Quality Improvement- first introduced in HP2112 with introductory only information on quality in health care.</w:t>
      </w:r>
    </w:p>
    <w:p w:rsidR="00375026" w:rsidRDefault="00E06569">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rsidR="00375026" w:rsidRDefault="00E0656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375026" w:rsidRDefault="00375026">
      <w:pPr>
        <w:tabs>
          <w:tab w:val="left" w:pos="360"/>
          <w:tab w:val="left" w:pos="810"/>
        </w:tabs>
        <w:spacing w:after="0"/>
        <w:rPr>
          <w:rFonts w:ascii="Cambria" w:eastAsia="Cambria" w:hAnsi="Cambria" w:cs="Cambria"/>
          <w:sz w:val="20"/>
          <w:szCs w:val="20"/>
        </w:rPr>
      </w:pPr>
    </w:p>
    <w:p w:rsidR="00375026" w:rsidRDefault="00E06569">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rsidR="00375026" w:rsidRDefault="00E06569">
      <w:pPr>
        <w:spacing w:after="0" w:line="240" w:lineRule="auto"/>
        <w:rPr>
          <w:rFonts w:ascii="Cambria" w:eastAsia="Cambria" w:hAnsi="Cambria" w:cs="Cambria"/>
          <w:sz w:val="20"/>
          <w:szCs w:val="20"/>
        </w:rPr>
      </w:pPr>
      <w:r>
        <w:t>1.</w:t>
      </w:r>
      <w:r>
        <w:rPr>
          <w:rFonts w:ascii="Cambria" w:eastAsia="Cambria" w:hAnsi="Cambria" w:cs="Cambria"/>
          <w:sz w:val="20"/>
          <w:szCs w:val="20"/>
        </w:rPr>
        <w:t>Demonstrate clear written and oral communication skills</w:t>
      </w:r>
    </w:p>
    <w:p w:rsidR="00375026" w:rsidRDefault="00E06569">
      <w:pPr>
        <w:tabs>
          <w:tab w:val="left" w:pos="360"/>
          <w:tab w:val="left" w:pos="720"/>
        </w:tabs>
        <w:spacing w:after="0" w:line="240" w:lineRule="auto"/>
        <w:rPr>
          <w:rFonts w:ascii="Cambria" w:eastAsia="Cambria" w:hAnsi="Cambria" w:cs="Cambria"/>
          <w:sz w:val="20"/>
          <w:szCs w:val="20"/>
        </w:rPr>
      </w:pPr>
      <w:r>
        <w:t>2.</w:t>
      </w:r>
      <w:r>
        <w:rPr>
          <w:rFonts w:ascii="Cambria" w:eastAsia="Cambria" w:hAnsi="Cambria" w:cs="Cambria"/>
          <w:sz w:val="20"/>
          <w:szCs w:val="20"/>
        </w:rPr>
        <w:t>Distinguish critical issues that are present in the field of health care</w:t>
      </w: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3.Describe key elements of the current and evolving U.S. health care system</w:t>
      </w:r>
    </w:p>
    <w:p w:rsidR="00375026" w:rsidRDefault="00E06569">
      <w:pPr>
        <w:tabs>
          <w:tab w:val="left" w:pos="360"/>
          <w:tab w:val="left" w:pos="720"/>
        </w:tabs>
        <w:spacing w:after="0" w:line="240" w:lineRule="auto"/>
        <w:rPr>
          <w:rFonts w:ascii="Cambria" w:eastAsia="Cambria" w:hAnsi="Cambria" w:cs="Cambria"/>
          <w:sz w:val="20"/>
          <w:szCs w:val="20"/>
        </w:rPr>
      </w:pPr>
      <w:r>
        <w:t xml:space="preserve"> </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E0656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375026" w:rsidRDefault="00375026">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5026">
        <w:tc>
          <w:tcPr>
            <w:tcW w:w="2148" w:type="dxa"/>
          </w:tcPr>
          <w:p w:rsidR="00375026" w:rsidRDefault="00E06569">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rsidR="00375026" w:rsidRDefault="00E06569">
            <w:pPr>
              <w:rPr>
                <w:rFonts w:ascii="Cambria" w:eastAsia="Cambria" w:hAnsi="Cambria" w:cs="Cambria"/>
                <w:sz w:val="20"/>
                <w:szCs w:val="20"/>
              </w:rPr>
            </w:pPr>
            <w:r>
              <w:t>1.</w:t>
            </w:r>
            <w:r>
              <w:rPr>
                <w:rFonts w:ascii="Cambria" w:eastAsia="Cambria" w:hAnsi="Cambria" w:cs="Cambria"/>
                <w:sz w:val="20"/>
                <w:szCs w:val="20"/>
              </w:rPr>
              <w:t>Demonstrate clear written and oral communication skills</w:t>
            </w:r>
          </w:p>
          <w:p w:rsidR="00375026" w:rsidRDefault="00375026">
            <w:pPr>
              <w:pBdr>
                <w:top w:val="nil"/>
                <w:left w:val="nil"/>
                <w:bottom w:val="nil"/>
                <w:right w:val="nil"/>
                <w:between w:val="nil"/>
              </w:pBdr>
              <w:spacing w:after="200" w:line="276" w:lineRule="auto"/>
              <w:ind w:left="720" w:hanging="720"/>
              <w:rPr>
                <w:rFonts w:ascii="Cambria" w:eastAsia="Cambria" w:hAnsi="Cambria" w:cs="Cambria"/>
                <w:color w:val="000000"/>
                <w:sz w:val="20"/>
                <w:szCs w:val="20"/>
              </w:rPr>
            </w:pP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 Research paper </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Assessment </w:t>
            </w:r>
          </w:p>
          <w:p w:rsidR="00375026" w:rsidRDefault="00E0656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Every 3 years</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375026" w:rsidRDefault="00E06569">
            <w:pPr>
              <w:rPr>
                <w:rFonts w:ascii="Cambria" w:eastAsia="Cambria" w:hAnsi="Cambria" w:cs="Cambria"/>
                <w:color w:val="808080"/>
                <w:sz w:val="20"/>
                <w:szCs w:val="20"/>
              </w:rPr>
            </w:pPr>
            <w:r>
              <w:rPr>
                <w:rFonts w:ascii="Cambria" w:eastAsia="Cambria" w:hAnsi="Cambria" w:cs="Cambria"/>
                <w:color w:val="808080"/>
                <w:sz w:val="20"/>
                <w:szCs w:val="20"/>
              </w:rPr>
              <w:t>BSHS Program Director or HS faculty</w:t>
            </w:r>
          </w:p>
        </w:tc>
      </w:tr>
    </w:tbl>
    <w:p w:rsidR="00375026" w:rsidRDefault="00E0656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5026">
        <w:tc>
          <w:tcPr>
            <w:tcW w:w="2148" w:type="dxa"/>
          </w:tcPr>
          <w:p w:rsidR="00375026" w:rsidRDefault="00E06569">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rsidR="00375026" w:rsidRDefault="00E06569">
            <w:pPr>
              <w:rPr>
                <w:rFonts w:ascii="Cambria" w:eastAsia="Cambria" w:hAnsi="Cambria" w:cs="Cambria"/>
                <w:sz w:val="20"/>
                <w:szCs w:val="20"/>
              </w:rPr>
            </w:pPr>
            <w:r>
              <w:t>2.</w:t>
            </w:r>
            <w:r>
              <w:rPr>
                <w:rFonts w:ascii="Cambria" w:eastAsia="Cambria" w:hAnsi="Cambria" w:cs="Cambria"/>
                <w:sz w:val="20"/>
                <w:szCs w:val="20"/>
              </w:rPr>
              <w:t>Distinguish critical issues  that are present in the field of health care</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Test </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Assessment </w:t>
            </w:r>
          </w:p>
          <w:p w:rsidR="00375026" w:rsidRDefault="00E0656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Every 3 years</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375026" w:rsidRDefault="00E06569">
            <w:pPr>
              <w:rPr>
                <w:rFonts w:ascii="Cambria" w:eastAsia="Cambria" w:hAnsi="Cambria" w:cs="Cambria"/>
                <w:color w:val="808080"/>
                <w:sz w:val="20"/>
                <w:szCs w:val="20"/>
              </w:rPr>
            </w:pPr>
            <w:r>
              <w:rPr>
                <w:rFonts w:ascii="Cambria" w:eastAsia="Cambria" w:hAnsi="Cambria" w:cs="Cambria"/>
                <w:color w:val="808080"/>
                <w:sz w:val="20"/>
                <w:szCs w:val="20"/>
              </w:rPr>
              <w:t>Rhonda Holcomb Program Director or HS faculty</w:t>
            </w:r>
          </w:p>
        </w:tc>
      </w:tr>
    </w:tbl>
    <w:p w:rsidR="00375026" w:rsidRDefault="00375026">
      <w:pPr>
        <w:rPr>
          <w:rFonts w:ascii="Cambria" w:eastAsia="Cambria" w:hAnsi="Cambria" w:cs="Cambria"/>
          <w:i/>
          <w:sz w:val="20"/>
          <w:szCs w:val="20"/>
        </w:rPr>
      </w:pPr>
    </w:p>
    <w:p w:rsidR="00375026" w:rsidRDefault="00E0656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375026" w:rsidRDefault="00E06569">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rsidR="00375026" w:rsidRDefault="00375026">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5026">
        <w:tc>
          <w:tcPr>
            <w:tcW w:w="2148" w:type="dxa"/>
          </w:tcPr>
          <w:p w:rsidR="00375026" w:rsidRDefault="00E06569">
            <w:pPr>
              <w:jc w:val="center"/>
              <w:rPr>
                <w:rFonts w:ascii="Cambria" w:eastAsia="Cambria" w:hAnsi="Cambria" w:cs="Cambria"/>
                <w:b/>
                <w:sz w:val="20"/>
                <w:szCs w:val="20"/>
              </w:rPr>
            </w:pPr>
            <w:r>
              <w:rPr>
                <w:rFonts w:ascii="Cambria" w:eastAsia="Cambria" w:hAnsi="Cambria" w:cs="Cambria"/>
                <w:b/>
                <w:sz w:val="20"/>
                <w:szCs w:val="20"/>
              </w:rPr>
              <w:t>Outcome 1</w:t>
            </w:r>
          </w:p>
          <w:p w:rsidR="00375026" w:rsidRDefault="00375026">
            <w:pPr>
              <w:rPr>
                <w:rFonts w:ascii="Cambria" w:eastAsia="Cambria" w:hAnsi="Cambria" w:cs="Cambria"/>
                <w:sz w:val="20"/>
                <w:szCs w:val="20"/>
              </w:rPr>
            </w:pP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Identify the elements of the CQI process</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Research paper</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375026" w:rsidRDefault="00E06569">
            <w:pPr>
              <w:rPr>
                <w:rFonts w:ascii="Cambria" w:eastAsia="Cambria" w:hAnsi="Cambria" w:cs="Cambria"/>
                <w:sz w:val="20"/>
                <w:szCs w:val="20"/>
              </w:rPr>
            </w:pPr>
            <w:r>
              <w:rPr>
                <w:rFonts w:ascii="Cambria" w:eastAsia="Cambria" w:hAnsi="Cambria" w:cs="Cambria"/>
                <w:color w:val="808080"/>
                <w:sz w:val="20"/>
                <w:szCs w:val="20"/>
              </w:rPr>
              <w:t xml:space="preserve">80% of students will achieve a B or higher on the research paper </w:t>
            </w:r>
          </w:p>
        </w:tc>
      </w:tr>
    </w:tbl>
    <w:p w:rsidR="00375026" w:rsidRDefault="00375026">
      <w:pPr>
        <w:ind w:firstLine="720"/>
        <w:rPr>
          <w:rFonts w:ascii="Cambria" w:eastAsia="Cambria" w:hAnsi="Cambria" w:cs="Cambria"/>
          <w:i/>
          <w:sz w:val="20"/>
          <w:szCs w:val="20"/>
        </w:rPr>
      </w:pPr>
    </w:p>
    <w:p w:rsidR="00375026" w:rsidRDefault="00E06569">
      <w:pPr>
        <w:ind w:firstLine="720"/>
        <w:rPr>
          <w:rFonts w:ascii="Cambria" w:eastAsia="Cambria" w:hAnsi="Cambria" w:cs="Cambria"/>
          <w:b/>
          <w:sz w:val="16"/>
          <w:szCs w:val="16"/>
          <w:u w:val="single"/>
        </w:rPr>
      </w:pPr>
      <w:r>
        <w:rPr>
          <w:rFonts w:ascii="Cambria" w:eastAsia="Cambria" w:hAnsi="Cambria" w:cs="Cambria"/>
          <w:i/>
          <w:sz w:val="20"/>
          <w:szCs w:val="20"/>
        </w:rPr>
        <w:lastRenderedPageBreak/>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5026">
        <w:tc>
          <w:tcPr>
            <w:tcW w:w="2148" w:type="dxa"/>
          </w:tcPr>
          <w:p w:rsidR="00375026" w:rsidRDefault="00E06569">
            <w:pPr>
              <w:jc w:val="center"/>
              <w:rPr>
                <w:rFonts w:ascii="Cambria" w:eastAsia="Cambria" w:hAnsi="Cambria" w:cs="Cambria"/>
                <w:b/>
                <w:sz w:val="20"/>
                <w:szCs w:val="20"/>
              </w:rPr>
            </w:pPr>
            <w:r>
              <w:rPr>
                <w:rFonts w:ascii="Cambria" w:eastAsia="Cambria" w:hAnsi="Cambria" w:cs="Cambria"/>
                <w:b/>
                <w:sz w:val="20"/>
                <w:szCs w:val="20"/>
              </w:rPr>
              <w:t>Outcome 2</w:t>
            </w:r>
          </w:p>
          <w:p w:rsidR="00375026" w:rsidRDefault="00375026">
            <w:pPr>
              <w:rPr>
                <w:rFonts w:ascii="Cambria" w:eastAsia="Cambria" w:hAnsi="Cambria" w:cs="Cambria"/>
                <w:sz w:val="20"/>
                <w:szCs w:val="20"/>
              </w:rPr>
            </w:pP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Identify the various tools used in in the CQI process</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Test</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375026" w:rsidRDefault="00E06569">
            <w:pPr>
              <w:rPr>
                <w:rFonts w:ascii="Cambria" w:eastAsia="Cambria" w:hAnsi="Cambria" w:cs="Cambria"/>
                <w:sz w:val="20"/>
                <w:szCs w:val="20"/>
              </w:rPr>
            </w:pPr>
            <w:r>
              <w:rPr>
                <w:rFonts w:ascii="Cambria" w:eastAsia="Cambria" w:hAnsi="Cambria" w:cs="Cambria"/>
                <w:color w:val="808080"/>
                <w:sz w:val="20"/>
                <w:szCs w:val="20"/>
              </w:rPr>
              <w:t xml:space="preserve">80% of students will achieve a score of B or higher on the test </w:t>
            </w:r>
          </w:p>
        </w:tc>
      </w:tr>
    </w:tbl>
    <w:p w:rsidR="00375026" w:rsidRDefault="00375026">
      <w:pPr>
        <w:rPr>
          <w:rFonts w:ascii="Cambria" w:eastAsia="Cambria" w:hAnsi="Cambria" w:cs="Cambria"/>
          <w:sz w:val="20"/>
          <w:szCs w:val="20"/>
        </w:rPr>
      </w:pPr>
    </w:p>
    <w:p w:rsidR="00375026" w:rsidRDefault="00375026">
      <w:pPr>
        <w:rPr>
          <w:rFonts w:ascii="Cambria" w:eastAsia="Cambria" w:hAnsi="Cambria" w:cs="Cambria"/>
          <w:sz w:val="20"/>
          <w:szCs w:val="20"/>
        </w:rPr>
      </w:pPr>
    </w:p>
    <w:p w:rsidR="00375026" w:rsidRDefault="00375026">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75026">
        <w:tc>
          <w:tcPr>
            <w:tcW w:w="2148" w:type="dxa"/>
          </w:tcPr>
          <w:p w:rsidR="00375026" w:rsidRDefault="00E06569">
            <w:pPr>
              <w:jc w:val="center"/>
              <w:rPr>
                <w:rFonts w:ascii="Cambria" w:eastAsia="Cambria" w:hAnsi="Cambria" w:cs="Cambria"/>
                <w:b/>
                <w:sz w:val="20"/>
                <w:szCs w:val="20"/>
              </w:rPr>
            </w:pPr>
            <w:r>
              <w:rPr>
                <w:rFonts w:ascii="Cambria" w:eastAsia="Cambria" w:hAnsi="Cambria" w:cs="Cambria"/>
                <w:b/>
                <w:sz w:val="20"/>
                <w:szCs w:val="20"/>
              </w:rPr>
              <w:t>Outcome 3</w:t>
            </w:r>
          </w:p>
          <w:p w:rsidR="00375026" w:rsidRDefault="00375026">
            <w:pPr>
              <w:rPr>
                <w:rFonts w:ascii="Cambria" w:eastAsia="Cambria" w:hAnsi="Cambria" w:cs="Cambria"/>
                <w:sz w:val="20"/>
                <w:szCs w:val="20"/>
              </w:rPr>
            </w:pP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Identify the role of the patient in CQI</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375026" w:rsidRDefault="00E06569">
            <w:pPr>
              <w:rPr>
                <w:rFonts w:ascii="Cambria" w:eastAsia="Cambria" w:hAnsi="Cambria" w:cs="Cambria"/>
                <w:sz w:val="20"/>
                <w:szCs w:val="20"/>
              </w:rPr>
            </w:pPr>
            <w:r>
              <w:rPr>
                <w:rFonts w:ascii="Cambria" w:eastAsia="Cambria" w:hAnsi="Cambria" w:cs="Cambria"/>
                <w:sz w:val="20"/>
                <w:szCs w:val="20"/>
              </w:rPr>
              <w:t>Test</w:t>
            </w:r>
          </w:p>
        </w:tc>
      </w:tr>
      <w:tr w:rsidR="00375026">
        <w:tc>
          <w:tcPr>
            <w:tcW w:w="2148" w:type="dxa"/>
          </w:tcPr>
          <w:p w:rsidR="00375026" w:rsidRDefault="00E0656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375026" w:rsidRDefault="00E06569">
            <w:pPr>
              <w:rPr>
                <w:rFonts w:ascii="Cambria" w:eastAsia="Cambria" w:hAnsi="Cambria" w:cs="Cambria"/>
                <w:sz w:val="20"/>
                <w:szCs w:val="20"/>
              </w:rPr>
            </w:pPr>
            <w:r>
              <w:rPr>
                <w:rFonts w:ascii="Cambria" w:eastAsia="Cambria" w:hAnsi="Cambria" w:cs="Cambria"/>
                <w:color w:val="808080"/>
                <w:sz w:val="20"/>
                <w:szCs w:val="20"/>
              </w:rPr>
              <w:t xml:space="preserve"> 80% of students will achieve a score of B or higher on the test </w:t>
            </w:r>
          </w:p>
        </w:tc>
      </w:tr>
    </w:tbl>
    <w:p w:rsidR="00375026" w:rsidRDefault="00E06569">
      <w:pPr>
        <w:rPr>
          <w:rFonts w:ascii="Cambria" w:eastAsia="Cambria" w:hAnsi="Cambria" w:cs="Cambria"/>
          <w:sz w:val="20"/>
          <w:szCs w:val="20"/>
        </w:rPr>
      </w:pPr>
      <w:r>
        <w:br w:type="page"/>
      </w:r>
    </w:p>
    <w:p w:rsidR="00375026" w:rsidRDefault="00E0656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375026" w:rsidRDefault="00375026">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5026">
        <w:tc>
          <w:tcPr>
            <w:tcW w:w="10790" w:type="dxa"/>
            <w:shd w:val="clear" w:color="auto" w:fill="D9D9D9"/>
          </w:tcPr>
          <w:p w:rsidR="00375026" w:rsidRDefault="00E0656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75026">
        <w:tc>
          <w:tcPr>
            <w:tcW w:w="10790" w:type="dxa"/>
            <w:shd w:val="clear" w:color="auto" w:fill="F2F2F2"/>
          </w:tcPr>
          <w:p w:rsidR="00375026" w:rsidRDefault="00375026">
            <w:pPr>
              <w:tabs>
                <w:tab w:val="left" w:pos="360"/>
                <w:tab w:val="left" w:pos="720"/>
              </w:tabs>
              <w:jc w:val="center"/>
              <w:rPr>
                <w:rFonts w:ascii="Times New Roman" w:eastAsia="Times New Roman" w:hAnsi="Times New Roman" w:cs="Times New Roman"/>
                <w:b/>
                <w:color w:val="000000"/>
                <w:sz w:val="18"/>
                <w:szCs w:val="18"/>
              </w:rPr>
            </w:pPr>
          </w:p>
          <w:p w:rsidR="00375026" w:rsidRDefault="00E0656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rsidR="00375026" w:rsidRDefault="00375026">
            <w:pPr>
              <w:rPr>
                <w:rFonts w:ascii="Times New Roman" w:eastAsia="Times New Roman" w:hAnsi="Times New Roman" w:cs="Times New Roman"/>
                <w:b/>
                <w:color w:val="FF0000"/>
                <w:sz w:val="14"/>
                <w:szCs w:val="14"/>
              </w:rPr>
            </w:pPr>
          </w:p>
          <w:p w:rsidR="00375026" w:rsidRDefault="00E06569">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375026" w:rsidRDefault="00375026">
            <w:pPr>
              <w:tabs>
                <w:tab w:val="left" w:pos="360"/>
                <w:tab w:val="left" w:pos="720"/>
              </w:tabs>
              <w:jc w:val="center"/>
              <w:rPr>
                <w:rFonts w:ascii="Times New Roman" w:eastAsia="Times New Roman" w:hAnsi="Times New Roman" w:cs="Times New Roman"/>
                <w:b/>
                <w:color w:val="000000"/>
                <w:sz w:val="10"/>
                <w:szCs w:val="10"/>
                <w:u w:val="single"/>
              </w:rPr>
            </w:pPr>
          </w:p>
          <w:p w:rsidR="00375026" w:rsidRDefault="00375026">
            <w:pPr>
              <w:tabs>
                <w:tab w:val="left" w:pos="360"/>
                <w:tab w:val="left" w:pos="720"/>
              </w:tabs>
              <w:jc w:val="center"/>
              <w:rPr>
                <w:rFonts w:ascii="Times New Roman" w:eastAsia="Times New Roman" w:hAnsi="Times New Roman" w:cs="Times New Roman"/>
                <w:b/>
                <w:color w:val="000000"/>
                <w:sz w:val="10"/>
                <w:szCs w:val="10"/>
                <w:u w:val="single"/>
              </w:rPr>
            </w:pPr>
          </w:p>
          <w:p w:rsidR="00375026" w:rsidRDefault="00E06569">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rsidR="00375026" w:rsidRDefault="00E06569">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rsidR="00375026" w:rsidRDefault="00E06569">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rsidR="00375026" w:rsidRDefault="00375026">
            <w:pPr>
              <w:tabs>
                <w:tab w:val="left" w:pos="360"/>
                <w:tab w:val="left" w:pos="720"/>
              </w:tabs>
              <w:rPr>
                <w:rFonts w:ascii="Times New Roman" w:eastAsia="Times New Roman" w:hAnsi="Times New Roman" w:cs="Times New Roman"/>
                <w:b/>
                <w:color w:val="000000"/>
                <w:sz w:val="18"/>
                <w:szCs w:val="18"/>
              </w:rPr>
            </w:pPr>
          </w:p>
          <w:p w:rsidR="00375026" w:rsidRDefault="00E06569">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sz w:val="18"/>
                <w:szCs w:val="18"/>
              </w:rPr>
              <w:t>🡪</w:t>
            </w:r>
            <w:r>
              <w:rPr>
                <w:rFonts w:ascii="Times New Roman" w:eastAsia="Times New Roman" w:hAnsi="Times New Roman" w:cs="Times New Roman"/>
                <w:i/>
                <w:sz w:val="20"/>
                <w:szCs w:val="20"/>
              </w:rPr>
              <w:t xml:space="preserve">  </w:t>
            </w:r>
            <w:r>
              <w:rPr>
                <w:i/>
                <w:noProof/>
                <w:sz w:val="18"/>
                <w:szCs w:val="18"/>
              </w:rPr>
              <w:drawing>
                <wp:inline distT="0" distB="0" distL="0" distR="0">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rsidR="00375026" w:rsidRDefault="00E06569">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rsidR="00375026" w:rsidRDefault="00375026">
            <w:pPr>
              <w:tabs>
                <w:tab w:val="left" w:pos="360"/>
                <w:tab w:val="left" w:pos="720"/>
              </w:tabs>
              <w:rPr>
                <w:rFonts w:ascii="Cambria" w:eastAsia="Cambria" w:hAnsi="Cambria" w:cs="Cambria"/>
                <w:sz w:val="18"/>
                <w:szCs w:val="18"/>
              </w:rPr>
            </w:pPr>
          </w:p>
        </w:tc>
      </w:tr>
    </w:tbl>
    <w:p w:rsidR="00375026" w:rsidRDefault="00E06569">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rsidR="00375026" w:rsidRDefault="00375026">
      <w:pPr>
        <w:rPr>
          <w:rFonts w:ascii="Cambria" w:eastAsia="Cambria" w:hAnsi="Cambria" w:cs="Cambria"/>
          <w:sz w:val="18"/>
          <w:szCs w:val="18"/>
        </w:rPr>
      </w:pPr>
    </w:p>
    <w:p w:rsidR="00375026" w:rsidRDefault="00E06569">
      <w:r>
        <w:t>Professional Track pg 328</w:t>
      </w:r>
    </w:p>
    <w:p w:rsidR="00375026" w:rsidRDefault="00375026"/>
    <w:tbl>
      <w:tblPr>
        <w:tblStyle w:val="a9"/>
        <w:tblW w:w="6465" w:type="dxa"/>
        <w:tblInd w:w="-8" w:type="dxa"/>
        <w:tblLayout w:type="fixed"/>
        <w:tblLook w:val="0400" w:firstRow="0" w:lastRow="0" w:firstColumn="0" w:lastColumn="0" w:noHBand="0" w:noVBand="1"/>
      </w:tblPr>
      <w:tblGrid>
        <w:gridCol w:w="5565"/>
        <w:gridCol w:w="900"/>
      </w:tblGrid>
      <w:tr w:rsidR="00375026">
        <w:trPr>
          <w:trHeight w:val="260"/>
        </w:trPr>
        <w:tc>
          <w:tcPr>
            <w:tcW w:w="5565"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6"/>
                <w:szCs w:val="16"/>
              </w:rPr>
              <w:t>University Requirements:</w:t>
            </w:r>
          </w:p>
        </w:tc>
        <w:tc>
          <w:tcPr>
            <w:tcW w:w="900" w:type="dxa"/>
          </w:tcPr>
          <w:p w:rsidR="00375026" w:rsidRDefault="00375026">
            <w:pPr>
              <w:pBdr>
                <w:top w:val="nil"/>
                <w:left w:val="nil"/>
                <w:bottom w:val="nil"/>
                <w:right w:val="nil"/>
                <w:between w:val="nil"/>
              </w:pBdr>
              <w:spacing w:after="0" w:line="240" w:lineRule="auto"/>
              <w:rPr>
                <w:rFonts w:ascii="Arial" w:eastAsia="Arial" w:hAnsi="Arial" w:cs="Arial"/>
                <w:color w:val="000000"/>
                <w:sz w:val="24"/>
                <w:szCs w:val="24"/>
              </w:rPr>
            </w:pP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b/>
                <w:color w:val="000000"/>
                <w:sz w:val="16"/>
                <w:szCs w:val="16"/>
              </w:rPr>
            </w:pPr>
            <w:r>
              <w:rPr>
                <w:rFonts w:ascii="Arial" w:eastAsia="Arial" w:hAnsi="Arial" w:cs="Arial"/>
                <w:color w:val="000000"/>
                <w:sz w:val="12"/>
                <w:szCs w:val="12"/>
              </w:rPr>
              <w:t>See University General Requirements for Baccalaureate degrees (p. 42)</w:t>
            </w:r>
          </w:p>
        </w:tc>
        <w:tc>
          <w:tcPr>
            <w:tcW w:w="900" w:type="dxa"/>
          </w:tcPr>
          <w:p w:rsidR="00375026" w:rsidRDefault="00375026">
            <w:pPr>
              <w:pBdr>
                <w:top w:val="nil"/>
                <w:left w:val="nil"/>
                <w:bottom w:val="nil"/>
                <w:right w:val="nil"/>
                <w:between w:val="nil"/>
              </w:pBdr>
              <w:spacing w:after="0" w:line="240" w:lineRule="auto"/>
              <w:rPr>
                <w:rFonts w:ascii="Arial" w:eastAsia="Arial" w:hAnsi="Arial" w:cs="Arial"/>
                <w:color w:val="000000"/>
                <w:sz w:val="24"/>
                <w:szCs w:val="24"/>
              </w:rPr>
            </w:pP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First Year Making Connections Course:</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PTA 1013, Making Connections in Rehab Services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General Education Requirements: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138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12"/>
                <w:szCs w:val="12"/>
              </w:rPr>
            </w:pPr>
            <w:r>
              <w:rPr>
                <w:rFonts w:ascii="Arial" w:eastAsia="Arial" w:hAnsi="Arial" w:cs="Arial"/>
                <w:color w:val="000000"/>
                <w:sz w:val="12"/>
                <w:szCs w:val="12"/>
              </w:rPr>
              <w:t>See General Education Curriculum for Associate of Applied Science and Baccalaureate degrees (pp. 79-81)</w:t>
            </w:r>
          </w:p>
          <w:p w:rsidR="00375026" w:rsidRDefault="00375026">
            <w:pPr>
              <w:pBdr>
                <w:top w:val="nil"/>
                <w:left w:val="nil"/>
                <w:bottom w:val="nil"/>
                <w:right w:val="nil"/>
                <w:between w:val="nil"/>
              </w:pBdr>
              <w:spacing w:after="0" w:line="288" w:lineRule="auto"/>
              <w:ind w:left="180"/>
              <w:rPr>
                <w:rFonts w:ascii="Arial" w:eastAsia="Arial" w:hAnsi="Arial" w:cs="Arial"/>
                <w:i/>
                <w:color w:val="000000"/>
                <w:sz w:val="12"/>
                <w:szCs w:val="12"/>
              </w:rPr>
            </w:pPr>
          </w:p>
          <w:p w:rsidR="00375026" w:rsidRDefault="00E06569">
            <w:pPr>
              <w:pBdr>
                <w:top w:val="nil"/>
                <w:left w:val="nil"/>
                <w:bottom w:val="nil"/>
                <w:right w:val="nil"/>
                <w:between w:val="nil"/>
              </w:pBdr>
              <w:spacing w:after="0" w:line="288" w:lineRule="auto"/>
              <w:ind w:left="270"/>
              <w:rPr>
                <w:rFonts w:ascii="Arial" w:eastAsia="Arial" w:hAnsi="Arial" w:cs="Arial"/>
                <w:i/>
                <w:color w:val="000000"/>
                <w:sz w:val="12"/>
                <w:szCs w:val="12"/>
              </w:rPr>
            </w:pPr>
            <w:r>
              <w:rPr>
                <w:rFonts w:ascii="Arial" w:eastAsia="Arial" w:hAnsi="Arial" w:cs="Arial"/>
                <w:b/>
                <w:color w:val="000000"/>
                <w:sz w:val="12"/>
                <w:szCs w:val="12"/>
              </w:rPr>
              <w:t>Students with this major must take the following for BS degree:</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MATH 1023, College Algebra or MATH course that requires MATH 1023 as a prerequisite</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 xml:space="preserve">BIO 2203 </w:t>
            </w:r>
            <w:r>
              <w:rPr>
                <w:rFonts w:ascii="Arial" w:eastAsia="Arial" w:hAnsi="Arial" w:cs="Arial"/>
                <w:b/>
                <w:i/>
                <w:color w:val="000000"/>
                <w:sz w:val="12"/>
                <w:szCs w:val="12"/>
              </w:rPr>
              <w:t>AND</w:t>
            </w:r>
            <w:r>
              <w:rPr>
                <w:rFonts w:ascii="Arial" w:eastAsia="Arial" w:hAnsi="Arial" w:cs="Arial"/>
                <w:i/>
                <w:color w:val="000000"/>
                <w:sz w:val="12"/>
                <w:szCs w:val="12"/>
              </w:rPr>
              <w:t xml:space="preserve"> 2201, Human Anatomy and Physiology I and Laboratory</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PHYS 2054, General Physics I</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PSY 2013, Introduction to Psychology</w:t>
            </w:r>
          </w:p>
          <w:p w:rsidR="00375026" w:rsidRDefault="00E06569">
            <w:pPr>
              <w:pBdr>
                <w:top w:val="nil"/>
                <w:left w:val="nil"/>
                <w:bottom w:val="nil"/>
                <w:right w:val="nil"/>
                <w:between w:val="nil"/>
              </w:pBdr>
              <w:spacing w:after="0" w:line="288" w:lineRule="auto"/>
              <w:ind w:left="360"/>
              <w:rPr>
                <w:rFonts w:ascii="Arial" w:eastAsia="Arial" w:hAnsi="Arial" w:cs="Arial"/>
                <w:color w:val="000000"/>
                <w:sz w:val="24"/>
                <w:szCs w:val="24"/>
              </w:rPr>
            </w:pPr>
            <w:r>
              <w:rPr>
                <w:rFonts w:ascii="Arial" w:eastAsia="Arial" w:hAnsi="Arial" w:cs="Arial"/>
                <w:i/>
                <w:color w:val="000000"/>
                <w:sz w:val="12"/>
                <w:szCs w:val="12"/>
              </w:rPr>
              <w:t>COMS 1203, Oral Communication (Required Departmental Gen. Ed. Option)</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35</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Physical Therapist Assistant Program:</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PTA AAS Degree Requirements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38</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Major Requirements: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lastRenderedPageBreak/>
              <w:t>CLS 4212, Interpreting Laboratory Data</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3233, Preventive Health</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i/>
                <w:color w:val="8DB3E2"/>
                <w:sz w:val="20"/>
                <w:szCs w:val="20"/>
              </w:rPr>
            </w:pPr>
            <w:r>
              <w:rPr>
                <w:rFonts w:ascii="Arial" w:eastAsia="Arial" w:hAnsi="Arial" w:cs="Arial"/>
                <w:i/>
                <w:color w:val="8DB3E2"/>
                <w:sz w:val="20"/>
                <w:szCs w:val="20"/>
              </w:rPr>
              <w:t>HP3343 Quality Improvement</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i/>
                <w:color w:val="8DB3E2"/>
                <w:sz w:val="20"/>
                <w:szCs w:val="20"/>
              </w:rPr>
            </w:pPr>
            <w:r>
              <w:rPr>
                <w:rFonts w:ascii="Arial" w:eastAsia="Arial" w:hAnsi="Arial" w:cs="Arial"/>
                <w:i/>
                <w:color w:val="8DB3E2"/>
                <w:sz w:val="20"/>
                <w:szCs w:val="20"/>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3353, Public Health: Principles and Practice</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3453, Healthcare Navigation and Advocacy</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3463, Introduction to Pharmaceuticals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3673, Critical Issues in Health</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3783, Issues in Mental Health</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4103, Patient Education in Health Care</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4213, Chronic Illness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4323, Patient Safety</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4443, Healthcare Management </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4543, Healthcare Service Delivery </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strike/>
                <w:color w:val="000000"/>
                <w:sz w:val="24"/>
                <w:szCs w:val="24"/>
              </w:rPr>
            </w:pPr>
            <w:r>
              <w:rPr>
                <w:rFonts w:ascii="Arial" w:eastAsia="Arial" w:hAnsi="Arial" w:cs="Arial"/>
                <w:strike/>
                <w:color w:val="FF0000"/>
                <w:sz w:val="12"/>
                <w:szCs w:val="12"/>
              </w:rPr>
              <w:t>NRS 3353, Aging and the Older Adult</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strike/>
                <w:color w:val="000000"/>
                <w:sz w:val="24"/>
                <w:szCs w:val="24"/>
              </w:rPr>
            </w:pPr>
            <w:r>
              <w:rPr>
                <w:rFonts w:ascii="Arial" w:eastAsia="Arial" w:hAnsi="Arial" w:cs="Arial"/>
                <w:strike/>
                <w:color w:val="FF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PHIL 3713, Ethics in Health Professions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41</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Required Support Courses: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2112, Introduction to the United States Healthcare System</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29" w:line="288" w:lineRule="auto"/>
              <w:rPr>
                <w:rFonts w:ascii="Arial" w:eastAsia="Arial" w:hAnsi="Arial" w:cs="Arial"/>
                <w:b/>
                <w:color w:val="000000"/>
                <w:sz w:val="16"/>
                <w:szCs w:val="16"/>
              </w:rPr>
            </w:pPr>
            <w:r>
              <w:rPr>
                <w:rFonts w:ascii="Arial" w:eastAsia="Arial" w:hAnsi="Arial" w:cs="Arial"/>
                <w:b/>
                <w:color w:val="000000"/>
                <w:sz w:val="16"/>
                <w:szCs w:val="16"/>
              </w:rPr>
              <w:t>Electives: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5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Electives (must include at least 4 upper-level hours)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6</w:t>
            </w:r>
          </w:p>
        </w:tc>
      </w:tr>
      <w:tr w:rsidR="00375026">
        <w:trPr>
          <w:trHeight w:val="260"/>
        </w:trPr>
        <w:tc>
          <w:tcPr>
            <w:tcW w:w="556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Total Required Hours:</w:t>
            </w:r>
          </w:p>
        </w:tc>
        <w:tc>
          <w:tcPr>
            <w:tcW w:w="900"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6"/>
                <w:szCs w:val="16"/>
              </w:rPr>
              <w:t>125</w:t>
            </w:r>
          </w:p>
        </w:tc>
      </w:tr>
    </w:tbl>
    <w:p w:rsidR="00375026" w:rsidRDefault="00375026"/>
    <w:p w:rsidR="00375026" w:rsidRDefault="00375026"/>
    <w:p w:rsidR="00375026" w:rsidRDefault="00E06569">
      <w:r>
        <w:t>Non professional track pg 329</w:t>
      </w:r>
    </w:p>
    <w:p w:rsidR="00375026" w:rsidRDefault="00375026"/>
    <w:tbl>
      <w:tblPr>
        <w:tblStyle w:val="aa"/>
        <w:tblW w:w="6004" w:type="dxa"/>
        <w:tblInd w:w="-8" w:type="dxa"/>
        <w:tblLayout w:type="fixed"/>
        <w:tblLook w:val="0400" w:firstRow="0" w:lastRow="0" w:firstColumn="0" w:lastColumn="0" w:noHBand="0" w:noVBand="1"/>
      </w:tblPr>
      <w:tblGrid>
        <w:gridCol w:w="5059"/>
        <w:gridCol w:w="945"/>
      </w:tblGrid>
      <w:tr w:rsidR="00375026">
        <w:trPr>
          <w:trHeight w:val="260"/>
        </w:trPr>
        <w:tc>
          <w:tcPr>
            <w:tcW w:w="5059"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6"/>
                <w:szCs w:val="16"/>
              </w:rPr>
              <w:t>University Requirements:</w:t>
            </w:r>
          </w:p>
        </w:tc>
        <w:tc>
          <w:tcPr>
            <w:tcW w:w="945" w:type="dxa"/>
          </w:tcPr>
          <w:p w:rsidR="00375026" w:rsidRDefault="00375026">
            <w:pPr>
              <w:pBdr>
                <w:top w:val="nil"/>
                <w:left w:val="nil"/>
                <w:bottom w:val="nil"/>
                <w:right w:val="nil"/>
                <w:between w:val="nil"/>
              </w:pBdr>
              <w:spacing w:after="0" w:line="240" w:lineRule="auto"/>
              <w:rPr>
                <w:rFonts w:ascii="Arial" w:eastAsia="Arial" w:hAnsi="Arial" w:cs="Arial"/>
                <w:color w:val="000000"/>
                <w:sz w:val="24"/>
                <w:szCs w:val="24"/>
              </w:rPr>
            </w:pP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b/>
                <w:color w:val="000000"/>
                <w:sz w:val="16"/>
                <w:szCs w:val="16"/>
              </w:rPr>
            </w:pPr>
            <w:r>
              <w:rPr>
                <w:rFonts w:ascii="Arial" w:eastAsia="Arial" w:hAnsi="Arial" w:cs="Arial"/>
                <w:color w:val="000000"/>
                <w:sz w:val="12"/>
                <w:szCs w:val="12"/>
              </w:rPr>
              <w:t>See University General Requirements for Baccalaureate degrees (p. 42)</w:t>
            </w:r>
          </w:p>
        </w:tc>
        <w:tc>
          <w:tcPr>
            <w:tcW w:w="945" w:type="dxa"/>
          </w:tcPr>
          <w:p w:rsidR="00375026" w:rsidRDefault="00375026">
            <w:pPr>
              <w:pBdr>
                <w:top w:val="nil"/>
                <w:left w:val="nil"/>
                <w:bottom w:val="nil"/>
                <w:right w:val="nil"/>
                <w:between w:val="nil"/>
              </w:pBdr>
              <w:spacing w:after="0" w:line="240" w:lineRule="auto"/>
              <w:rPr>
                <w:rFonts w:ascii="Arial" w:eastAsia="Arial" w:hAnsi="Arial" w:cs="Arial"/>
                <w:color w:val="000000"/>
                <w:sz w:val="24"/>
                <w:szCs w:val="24"/>
              </w:rPr>
            </w:pP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First Year Making Connections Course:</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UC 1013, Making Connections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w:t>
            </w: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General Education Requirements: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96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12"/>
                <w:szCs w:val="12"/>
              </w:rPr>
            </w:pPr>
            <w:r>
              <w:rPr>
                <w:rFonts w:ascii="Arial" w:eastAsia="Arial" w:hAnsi="Arial" w:cs="Arial"/>
                <w:color w:val="000000"/>
                <w:sz w:val="12"/>
                <w:szCs w:val="12"/>
              </w:rPr>
              <w:lastRenderedPageBreak/>
              <w:t>See General Education Curriculum for Baccalaureate degrees (p. 78)</w:t>
            </w:r>
          </w:p>
          <w:p w:rsidR="00375026" w:rsidRDefault="00375026">
            <w:pPr>
              <w:pBdr>
                <w:top w:val="nil"/>
                <w:left w:val="nil"/>
                <w:bottom w:val="nil"/>
                <w:right w:val="nil"/>
                <w:between w:val="nil"/>
              </w:pBdr>
              <w:spacing w:after="0" w:line="288" w:lineRule="auto"/>
              <w:ind w:left="360"/>
              <w:rPr>
                <w:rFonts w:ascii="Arial" w:eastAsia="Arial" w:hAnsi="Arial" w:cs="Arial"/>
                <w:i/>
                <w:color w:val="000000"/>
                <w:sz w:val="12"/>
                <w:szCs w:val="12"/>
              </w:rPr>
            </w:pPr>
          </w:p>
          <w:p w:rsidR="00375026" w:rsidRDefault="00E06569">
            <w:pPr>
              <w:pBdr>
                <w:top w:val="nil"/>
                <w:left w:val="nil"/>
                <w:bottom w:val="nil"/>
                <w:right w:val="nil"/>
                <w:between w:val="nil"/>
              </w:pBdr>
              <w:spacing w:after="0" w:line="288" w:lineRule="auto"/>
              <w:ind w:left="270"/>
              <w:rPr>
                <w:rFonts w:ascii="Arial" w:eastAsia="Arial" w:hAnsi="Arial" w:cs="Arial"/>
                <w:i/>
                <w:color w:val="000000"/>
                <w:sz w:val="12"/>
                <w:szCs w:val="12"/>
              </w:rPr>
            </w:pPr>
            <w:r>
              <w:rPr>
                <w:rFonts w:ascii="Arial" w:eastAsia="Arial" w:hAnsi="Arial" w:cs="Arial"/>
                <w:b/>
                <w:color w:val="000000"/>
                <w:sz w:val="12"/>
                <w:szCs w:val="12"/>
              </w:rPr>
              <w:t>Students with this major must take the following:</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BIO 2203 AND 2201, Human Anatomy and Physiology I and Laboratory</w:t>
            </w:r>
          </w:p>
          <w:p w:rsidR="00375026" w:rsidRDefault="00E06569">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PSY 2013, Introduction to Psychology</w:t>
            </w:r>
          </w:p>
          <w:p w:rsidR="00375026" w:rsidRDefault="00E06569">
            <w:pPr>
              <w:pBdr>
                <w:top w:val="nil"/>
                <w:left w:val="nil"/>
                <w:bottom w:val="nil"/>
                <w:right w:val="nil"/>
                <w:between w:val="nil"/>
              </w:pBdr>
              <w:spacing w:after="0" w:line="288" w:lineRule="auto"/>
              <w:ind w:left="360"/>
              <w:rPr>
                <w:rFonts w:ascii="Arial" w:eastAsia="Arial" w:hAnsi="Arial" w:cs="Arial"/>
                <w:color w:val="000000"/>
                <w:sz w:val="24"/>
                <w:szCs w:val="24"/>
              </w:rPr>
            </w:pPr>
            <w:r>
              <w:rPr>
                <w:rFonts w:ascii="Arial" w:eastAsia="Arial" w:hAnsi="Arial" w:cs="Arial"/>
                <w:i/>
                <w:color w:val="000000"/>
                <w:sz w:val="12"/>
                <w:szCs w:val="12"/>
              </w:rPr>
              <w:t>COMS 1203, Oral Communication (Required Departmental Gen. Ed. Option)</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35</w:t>
            </w: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Major Requirements: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CLS 4212, Interpreting Laboratory Data</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3123, Introduction to Disease</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3233, Preventive Health</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i/>
                <w:color w:val="8DB3E2"/>
                <w:sz w:val="20"/>
                <w:szCs w:val="20"/>
              </w:rPr>
            </w:pPr>
            <w:r>
              <w:rPr>
                <w:rFonts w:ascii="Arial" w:eastAsia="Arial" w:hAnsi="Arial" w:cs="Arial"/>
                <w:i/>
                <w:color w:val="8DB3E2"/>
                <w:sz w:val="20"/>
                <w:szCs w:val="20"/>
              </w:rPr>
              <w:t>HP3343 Quality Improvement</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i/>
                <w:color w:val="8DB3E2"/>
                <w:sz w:val="20"/>
                <w:szCs w:val="20"/>
              </w:rPr>
            </w:pPr>
            <w:r>
              <w:rPr>
                <w:rFonts w:ascii="Arial" w:eastAsia="Arial" w:hAnsi="Arial" w:cs="Arial"/>
                <w:i/>
                <w:color w:val="8DB3E2"/>
                <w:sz w:val="20"/>
                <w:szCs w:val="20"/>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3353, Public Health:  Principles and Practice</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3413, Cultural Competence In The Health Professions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3453, Healthcare Navigation and Advocacy</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3463, Introduction to Pharmaceuticals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3673, Critical Issues in Health</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3783, Issues in Mental Health</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4103, Patient Education in Health Care</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4213, Chronic Illness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4323, Patient Safety</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4443, Healthcare Management </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4543, Healthcare Service Delivery </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strike/>
                <w:color w:val="000000"/>
                <w:sz w:val="24"/>
                <w:szCs w:val="24"/>
              </w:rPr>
            </w:pPr>
            <w:r>
              <w:rPr>
                <w:rFonts w:ascii="Arial" w:eastAsia="Arial" w:hAnsi="Arial" w:cs="Arial"/>
                <w:strike/>
                <w:color w:val="FF0000"/>
                <w:sz w:val="12"/>
                <w:szCs w:val="12"/>
              </w:rPr>
              <w:t>NRS 3353, Aging and the Older Adult</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strike/>
                <w:color w:val="000000"/>
                <w:sz w:val="24"/>
                <w:szCs w:val="24"/>
              </w:rPr>
            </w:pPr>
            <w:r>
              <w:rPr>
                <w:rFonts w:ascii="Arial" w:eastAsia="Arial" w:hAnsi="Arial" w:cs="Arial"/>
                <w:strike/>
                <w:color w:val="FF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PHIL 3713, Ethics in Health Professions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47</w:t>
            </w: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Required Support Courses: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DPEM 2233, Principles of Healthcare Emergency Management</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HLTH 2513, Principles of Personal Health</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2013, Medical Terminology</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2112, Introduction to the United States Healthcare System</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NS 2203, Basic Human Nutrition</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SOC 2223, Social Problems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17</w:t>
            </w: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29" w:line="288" w:lineRule="auto"/>
              <w:rPr>
                <w:rFonts w:ascii="Arial" w:eastAsia="Arial" w:hAnsi="Arial" w:cs="Arial"/>
                <w:b/>
                <w:color w:val="000000"/>
                <w:sz w:val="16"/>
                <w:szCs w:val="16"/>
              </w:rPr>
            </w:pPr>
            <w:r>
              <w:rPr>
                <w:rFonts w:ascii="Arial" w:eastAsia="Arial" w:hAnsi="Arial" w:cs="Arial"/>
                <w:b/>
                <w:color w:val="000000"/>
                <w:sz w:val="16"/>
                <w:szCs w:val="16"/>
              </w:rPr>
              <w:t>Electives: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375026">
        <w:trPr>
          <w:trHeight w:val="240"/>
        </w:trPr>
        <w:tc>
          <w:tcPr>
            <w:tcW w:w="505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375026" w:rsidRDefault="00E06569">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Electives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18</w:t>
            </w:r>
          </w:p>
        </w:tc>
      </w:tr>
      <w:tr w:rsidR="00375026">
        <w:trPr>
          <w:trHeight w:val="260"/>
        </w:trPr>
        <w:tc>
          <w:tcPr>
            <w:tcW w:w="5059"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rsidR="00375026" w:rsidRDefault="00E06569">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lastRenderedPageBreak/>
              <w:t>Total Required Hours:</w:t>
            </w:r>
          </w:p>
        </w:tc>
        <w:tc>
          <w:tcPr>
            <w:tcW w:w="945" w:type="dxa"/>
          </w:tcPr>
          <w:p w:rsidR="00375026" w:rsidRDefault="00E06569">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6"/>
                <w:szCs w:val="16"/>
              </w:rPr>
              <w:t>120</w:t>
            </w:r>
          </w:p>
        </w:tc>
      </w:tr>
    </w:tbl>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375026">
      <w:pPr>
        <w:tabs>
          <w:tab w:val="left" w:pos="360"/>
          <w:tab w:val="left" w:pos="720"/>
        </w:tabs>
        <w:spacing w:after="0" w:line="240" w:lineRule="auto"/>
        <w:rPr>
          <w:rFonts w:ascii="Cambria" w:eastAsia="Cambria" w:hAnsi="Cambria" w:cs="Cambria"/>
          <w:sz w:val="20"/>
          <w:szCs w:val="20"/>
        </w:rPr>
      </w:pPr>
    </w:p>
    <w:p w:rsidR="00375026" w:rsidRDefault="00375026">
      <w:pPr>
        <w:rPr>
          <w:rFonts w:ascii="Cambria" w:eastAsia="Cambria" w:hAnsi="Cambria" w:cs="Cambria"/>
          <w:sz w:val="18"/>
          <w:szCs w:val="18"/>
        </w:rPr>
      </w:pPr>
    </w:p>
    <w:sectPr w:rsidR="00375026">
      <w:footerReference w:type="even" r:id="rId13"/>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98" w:rsidRDefault="001E5998">
      <w:pPr>
        <w:spacing w:after="0" w:line="240" w:lineRule="auto"/>
      </w:pPr>
      <w:r>
        <w:separator/>
      </w:r>
    </w:p>
  </w:endnote>
  <w:endnote w:type="continuationSeparator" w:id="0">
    <w:p w:rsidR="001E5998" w:rsidRDefault="001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6" w:rsidRDefault="00E065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375026" w:rsidRDefault="0037502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26" w:rsidRDefault="00E0656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2270">
      <w:rPr>
        <w:noProof/>
        <w:color w:val="000000"/>
      </w:rPr>
      <w:t>2</w:t>
    </w:r>
    <w:r>
      <w:rPr>
        <w:color w:val="000000"/>
      </w:rPr>
      <w:fldChar w:fldCharType="end"/>
    </w:r>
  </w:p>
  <w:p w:rsidR="00375026" w:rsidRDefault="00E06569">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98" w:rsidRDefault="001E5998">
      <w:pPr>
        <w:spacing w:after="0" w:line="240" w:lineRule="auto"/>
      </w:pPr>
      <w:r>
        <w:separator/>
      </w:r>
    </w:p>
  </w:footnote>
  <w:footnote w:type="continuationSeparator" w:id="0">
    <w:p w:rsidR="001E5998" w:rsidRDefault="001E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1338"/>
    <w:multiLevelType w:val="multilevel"/>
    <w:tmpl w:val="167AC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C868F1"/>
    <w:multiLevelType w:val="multilevel"/>
    <w:tmpl w:val="7C949E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26"/>
    <w:rsid w:val="00137D98"/>
    <w:rsid w:val="001E5998"/>
    <w:rsid w:val="00352270"/>
    <w:rsid w:val="00375026"/>
    <w:rsid w:val="00980E41"/>
    <w:rsid w:val="00995BE1"/>
    <w:rsid w:val="00B435F3"/>
    <w:rsid w:val="00E06569"/>
    <w:rsid w:val="00F8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7271"/>
  <w15:docId w15:val="{52099CDE-D74F-4C0B-85E1-AD31C097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C10434"/>
    <w:rPr>
      <w:i/>
      <w:iCs/>
    </w:rPr>
  </w:style>
  <w:style w:type="paragraph" w:customStyle="1" w:styleId="BasicParagraph">
    <w:name w:val="[Basic Paragraph]"/>
    <w:basedOn w:val="Normal"/>
    <w:uiPriority w:val="99"/>
    <w:rsid w:val="00550663"/>
    <w:pPr>
      <w:autoSpaceDE w:val="0"/>
      <w:autoSpaceDN w:val="0"/>
      <w:spacing w:after="0" w:line="288" w:lineRule="auto"/>
    </w:pPr>
    <w:rPr>
      <w:rFonts w:ascii="Arial" w:hAnsi="Arial" w:cs="Arial"/>
      <w:color w:val="000000"/>
      <w:sz w:val="24"/>
      <w:szCs w:val="24"/>
    </w:rPr>
  </w:style>
  <w:style w:type="paragraph" w:customStyle="1" w:styleId="DegreeHeader">
    <w:name w:val="Degree Header"/>
    <w:basedOn w:val="Normal"/>
    <w:uiPriority w:val="99"/>
    <w:rsid w:val="00550663"/>
    <w:pPr>
      <w:autoSpaceDE w:val="0"/>
      <w:autoSpaceDN w:val="0"/>
      <w:spacing w:after="0" w:line="288" w:lineRule="auto"/>
    </w:pPr>
    <w:rPr>
      <w:rFonts w:ascii="Arial" w:hAnsi="Arial" w:cs="Arial"/>
      <w:b/>
      <w:bCs/>
      <w:color w:val="000000"/>
      <w:sz w:val="16"/>
      <w:szCs w:val="16"/>
    </w:rPr>
  </w:style>
  <w:style w:type="paragraph" w:customStyle="1" w:styleId="NoParagraphStyle">
    <w:name w:val="[No Paragraph Style]"/>
    <w:basedOn w:val="Normal"/>
    <w:rsid w:val="00550663"/>
    <w:pPr>
      <w:autoSpaceDE w:val="0"/>
      <w:autoSpaceDN w:val="0"/>
      <w:spacing w:after="0" w:line="288"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9976DB2F8E4B739C5706AF805C4FB9"/>
        <w:category>
          <w:name w:val="General"/>
          <w:gallery w:val="placeholder"/>
        </w:category>
        <w:types>
          <w:type w:val="bbPlcHdr"/>
        </w:types>
        <w:behaviors>
          <w:behavior w:val="content"/>
        </w:behaviors>
        <w:guid w:val="{E82ADE17-7EFF-4A6A-8F84-EC77026CC74B}"/>
      </w:docPartPr>
      <w:docPartBody>
        <w:p w:rsidR="00000000" w:rsidRDefault="00DE598A" w:rsidP="00DE598A">
          <w:pPr>
            <w:pStyle w:val="E09976DB2F8E4B739C5706AF805C4FB9"/>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8A"/>
    <w:rsid w:val="00B77FFD"/>
    <w:rsid w:val="00D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976DB2F8E4B739C5706AF805C4FB9">
    <w:name w:val="E09976DB2F8E4B739C5706AF805C4FB9"/>
    <w:rsid w:val="00DE5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pwp8fcfXwAH41H38S2/VPQbfQ==">AMUW2mWO/w0F5l6xyxjERI9Z1EJDGZb8+lBSIh9Bm0vPXmjoEV0AE/q4T/6zKkmr9Bngna/5YpKoBdAiF7k7YwvyBI+276cwNpoqYuPyYyDvVqeF3TMjz7m4jj/f8SxUWoHh6xw4bLBK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2019-10-24T13:38:00Z</dcterms:created>
  <dcterms:modified xsi:type="dcterms:W3CDTF">2019-10-24T13:38:00Z</dcterms:modified>
</cp:coreProperties>
</file>