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xlsb" ContentType="application/vnd.ms-excel.sheet.binary.macroEnabled.12"/>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9E" w:rsidRPr="00F91D6E" w:rsidRDefault="0035529E" w:rsidP="00BD24A2">
      <w:pPr>
        <w:rPr>
          <w:b/>
          <w:sz w:val="24"/>
          <w:szCs w:val="24"/>
        </w:rPr>
      </w:pPr>
    </w:p>
    <w:p w:rsidR="00C6385F" w:rsidRPr="00F91D6E" w:rsidRDefault="00A23C2A" w:rsidP="00A23C2A">
      <w:pPr>
        <w:jc w:val="center"/>
        <w:rPr>
          <w:b/>
          <w:sz w:val="24"/>
          <w:szCs w:val="24"/>
        </w:rPr>
      </w:pPr>
      <w:r w:rsidRPr="00F91D6E">
        <w:rPr>
          <w:b/>
          <w:sz w:val="24"/>
          <w:szCs w:val="24"/>
        </w:rPr>
        <w:t>Report from Faculty Senate Finance Committee to Faculty Senate</w:t>
      </w:r>
    </w:p>
    <w:p w:rsidR="00A23C2A" w:rsidRPr="00F91D6E" w:rsidRDefault="00A23C2A" w:rsidP="00A23C2A">
      <w:pPr>
        <w:jc w:val="center"/>
        <w:rPr>
          <w:b/>
          <w:sz w:val="24"/>
          <w:szCs w:val="24"/>
        </w:rPr>
      </w:pPr>
      <w:r w:rsidRPr="00F91D6E">
        <w:rPr>
          <w:b/>
          <w:sz w:val="24"/>
          <w:szCs w:val="24"/>
        </w:rPr>
        <w:t>February 5, 2010</w:t>
      </w:r>
    </w:p>
    <w:p w:rsidR="00BD24A2" w:rsidRPr="00F91D6E" w:rsidRDefault="00BD24A2" w:rsidP="00BD24A2">
      <w:pPr>
        <w:rPr>
          <w:b/>
          <w:sz w:val="24"/>
          <w:szCs w:val="24"/>
        </w:rPr>
      </w:pPr>
    </w:p>
    <w:p w:rsidR="00B233BC" w:rsidRDefault="00A23C2A" w:rsidP="00A23C2A">
      <w:pPr>
        <w:jc w:val="center"/>
        <w:rPr>
          <w:b/>
          <w:sz w:val="24"/>
          <w:szCs w:val="24"/>
        </w:rPr>
      </w:pPr>
      <w:r w:rsidRPr="00F91D6E">
        <w:rPr>
          <w:b/>
          <w:sz w:val="24"/>
          <w:szCs w:val="24"/>
        </w:rPr>
        <w:t xml:space="preserve">Committee Members:  Lynn Howerton (chair),  Bill Rowe, Louella Moore, </w:t>
      </w:r>
    </w:p>
    <w:p w:rsidR="00A23C2A" w:rsidRPr="00F91D6E" w:rsidRDefault="00A23C2A" w:rsidP="00A23C2A">
      <w:pPr>
        <w:jc w:val="center"/>
        <w:rPr>
          <w:b/>
          <w:sz w:val="24"/>
          <w:szCs w:val="24"/>
        </w:rPr>
      </w:pPr>
      <w:r w:rsidRPr="00F91D6E">
        <w:rPr>
          <w:b/>
          <w:sz w:val="24"/>
          <w:szCs w:val="24"/>
        </w:rPr>
        <w:t>Richard Segall, Pradeep Mishra</w:t>
      </w:r>
    </w:p>
    <w:p w:rsidR="00BD24A2" w:rsidRPr="00F91D6E" w:rsidRDefault="00BD24A2" w:rsidP="00BD24A2">
      <w:pPr>
        <w:rPr>
          <w:sz w:val="24"/>
          <w:szCs w:val="24"/>
          <w:u w:val="single"/>
        </w:rPr>
      </w:pPr>
    </w:p>
    <w:p w:rsidR="00A23C2A" w:rsidRPr="00F91D6E" w:rsidRDefault="00A23C2A" w:rsidP="00A23C2A">
      <w:pPr>
        <w:jc w:val="both"/>
        <w:rPr>
          <w:sz w:val="24"/>
          <w:szCs w:val="24"/>
        </w:rPr>
      </w:pPr>
      <w:r w:rsidRPr="00F91D6E">
        <w:rPr>
          <w:sz w:val="24"/>
          <w:szCs w:val="24"/>
        </w:rPr>
        <w:t xml:space="preserve">The Faculty Senate Finance Committee studies relevant revenue and expenditure trends for Arkansas State University with emphasis on the Jonesboro campus.  This report represents a subset of the work being done by this committee in the 2009-10 academic year and serves as a follow-up to the formal study of financial trends prepared by the 2008-09 Faculty Senate Finance Committee.   </w:t>
      </w:r>
      <w:r w:rsidR="00B0177B" w:rsidRPr="00F91D6E">
        <w:rPr>
          <w:sz w:val="24"/>
          <w:szCs w:val="24"/>
        </w:rPr>
        <w:t xml:space="preserve">In particular this report emphasizes trends in faculty vs. staff lines and the percentage of university resources expended for instruction and research.  </w:t>
      </w:r>
    </w:p>
    <w:p w:rsidR="00137497" w:rsidRPr="00F91D6E" w:rsidRDefault="00137497" w:rsidP="00A23C2A">
      <w:pPr>
        <w:jc w:val="both"/>
        <w:rPr>
          <w:sz w:val="24"/>
          <w:szCs w:val="24"/>
        </w:rPr>
      </w:pPr>
    </w:p>
    <w:p w:rsidR="00BD24A2" w:rsidRDefault="00137497" w:rsidP="00A23C2A">
      <w:pPr>
        <w:jc w:val="both"/>
        <w:rPr>
          <w:sz w:val="24"/>
          <w:szCs w:val="24"/>
        </w:rPr>
      </w:pPr>
      <w:r w:rsidRPr="00F91D6E">
        <w:rPr>
          <w:sz w:val="24"/>
          <w:szCs w:val="24"/>
        </w:rPr>
        <w:t xml:space="preserve">Illustration </w:t>
      </w:r>
      <w:r w:rsidR="00195E4D" w:rsidRPr="00F91D6E">
        <w:rPr>
          <w:sz w:val="24"/>
          <w:szCs w:val="24"/>
        </w:rPr>
        <w:t>1 below shows the increase</w:t>
      </w:r>
      <w:r w:rsidRPr="00F91D6E">
        <w:rPr>
          <w:sz w:val="24"/>
          <w:szCs w:val="24"/>
        </w:rPr>
        <w:t xml:space="preserve"> in full and part time faculty from 2004 to 2009.  These increases should be viewed in relation to a 10.7% increase in FTE (full time equivalent</w:t>
      </w:r>
      <w:r w:rsidR="00195E4D" w:rsidRPr="00F91D6E">
        <w:rPr>
          <w:sz w:val="24"/>
          <w:szCs w:val="24"/>
        </w:rPr>
        <w:t xml:space="preserve"> student enrollment</w:t>
      </w:r>
      <w:r w:rsidRPr="00F91D6E">
        <w:rPr>
          <w:sz w:val="24"/>
          <w:szCs w:val="24"/>
        </w:rPr>
        <w:t xml:space="preserve">) from 2004 to 2009.  Illustration 1 shows that full time faculty are being added more slowly than the student base.  Illustration 2 shows the increases in full </w:t>
      </w:r>
      <w:r w:rsidR="00BD24A2">
        <w:rPr>
          <w:sz w:val="24"/>
          <w:szCs w:val="24"/>
        </w:rPr>
        <w:t xml:space="preserve">and part </w:t>
      </w:r>
      <w:r w:rsidRPr="00F91D6E">
        <w:rPr>
          <w:sz w:val="24"/>
          <w:szCs w:val="24"/>
        </w:rPr>
        <w:t>time staff from 200</w:t>
      </w:r>
      <w:r w:rsidR="00BD24A2">
        <w:rPr>
          <w:sz w:val="24"/>
          <w:szCs w:val="24"/>
        </w:rPr>
        <w:t>4 to 2009</w:t>
      </w:r>
      <w:r w:rsidRPr="00F91D6E">
        <w:rPr>
          <w:sz w:val="24"/>
          <w:szCs w:val="24"/>
        </w:rPr>
        <w:t xml:space="preserve">. </w:t>
      </w:r>
      <w:r w:rsidR="0035529E" w:rsidRPr="00F91D6E">
        <w:rPr>
          <w:sz w:val="24"/>
          <w:szCs w:val="24"/>
        </w:rPr>
        <w:t xml:space="preserve">  This shows that the number of full time staff increase by 17.3% compared to the 10.7% increa</w:t>
      </w:r>
      <w:r w:rsidR="00BD24A2">
        <w:rPr>
          <w:sz w:val="24"/>
          <w:szCs w:val="24"/>
        </w:rPr>
        <w:t xml:space="preserve">se in FTE’s from 2004 to 2009. Part time staff increased 145% over the time period from 2004 to 2009.  </w:t>
      </w:r>
      <w:r w:rsidR="00152EC3" w:rsidRPr="00F91D6E">
        <w:rPr>
          <w:sz w:val="24"/>
          <w:szCs w:val="24"/>
        </w:rPr>
        <w:t xml:space="preserve">According to the Common Data Set reported provided on the Institutional Research website,  302 of the full time faculty for 2009 held doctorates or other similar terminal degree ( 62.7%) while only 10 of the part time faculty (5.8%) held the doctorate or other terminal degree equivalent. </w:t>
      </w:r>
    </w:p>
    <w:p w:rsidR="00BD24A2" w:rsidRDefault="00BD24A2" w:rsidP="00A23C2A">
      <w:pPr>
        <w:jc w:val="both"/>
        <w:rPr>
          <w:sz w:val="24"/>
          <w:szCs w:val="24"/>
        </w:rPr>
      </w:pPr>
    </w:p>
    <w:p w:rsidR="00BD24A2" w:rsidRDefault="00BD24A2" w:rsidP="00A23C2A">
      <w:pPr>
        <w:jc w:val="both"/>
        <w:rPr>
          <w:sz w:val="24"/>
          <w:szCs w:val="24"/>
        </w:rPr>
      </w:pPr>
    </w:p>
    <w:p w:rsidR="00BD24A2" w:rsidRPr="00F91D6E" w:rsidRDefault="00BD24A2" w:rsidP="00A23C2A">
      <w:pPr>
        <w:jc w:val="both"/>
        <w:rPr>
          <w:sz w:val="24"/>
          <w:szCs w:val="24"/>
        </w:rPr>
      </w:pPr>
    </w:p>
    <w:p w:rsidR="00137497" w:rsidRPr="00F91D6E" w:rsidRDefault="00137497" w:rsidP="00137497">
      <w:pPr>
        <w:jc w:val="center"/>
        <w:rPr>
          <w:b/>
          <w:sz w:val="24"/>
          <w:szCs w:val="24"/>
        </w:rPr>
      </w:pPr>
      <w:r w:rsidRPr="00F91D6E">
        <w:rPr>
          <w:b/>
          <w:sz w:val="24"/>
          <w:szCs w:val="24"/>
        </w:rPr>
        <w:t xml:space="preserve">Illustration 1 </w:t>
      </w:r>
    </w:p>
    <w:p w:rsidR="0035529E" w:rsidRPr="00F91D6E" w:rsidRDefault="0035529E" w:rsidP="00137497">
      <w:pPr>
        <w:jc w:val="center"/>
        <w:rPr>
          <w:b/>
          <w:sz w:val="24"/>
          <w:szCs w:val="24"/>
        </w:rPr>
      </w:pPr>
      <w:r w:rsidRPr="00F91D6E">
        <w:rPr>
          <w:b/>
          <w:sz w:val="24"/>
          <w:szCs w:val="24"/>
        </w:rPr>
        <w:t>Trend for Faculty Numbers</w:t>
      </w:r>
    </w:p>
    <w:p w:rsidR="00137497" w:rsidRDefault="00137497" w:rsidP="00137497">
      <w:pPr>
        <w:jc w:val="center"/>
      </w:pPr>
    </w:p>
    <w:p w:rsidR="00137497" w:rsidRDefault="00B01BD3" w:rsidP="00137497">
      <w:pPr>
        <w:jc w:val="center"/>
      </w:pPr>
      <w:r>
        <w:object w:dxaOrig="9667" w:dyaOrig="1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9pt;height:88.3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Excel.Sheet.12" ShapeID="_x0000_i1025" DrawAspect="Content" ObjectID="_1327746428" r:id="rId7"/>
        </w:object>
      </w:r>
    </w:p>
    <w:p w:rsidR="00F91D6E" w:rsidRDefault="00F91D6E" w:rsidP="00BD24A2">
      <w:pPr>
        <w:rPr>
          <w:b/>
          <w:sz w:val="24"/>
          <w:szCs w:val="24"/>
        </w:rPr>
      </w:pPr>
    </w:p>
    <w:p w:rsidR="00BD24A2" w:rsidRDefault="00BD24A2" w:rsidP="00137497">
      <w:pPr>
        <w:jc w:val="center"/>
        <w:rPr>
          <w:b/>
          <w:sz w:val="24"/>
          <w:szCs w:val="24"/>
        </w:rPr>
      </w:pPr>
    </w:p>
    <w:p w:rsidR="00BD24A2" w:rsidRDefault="00BD24A2" w:rsidP="00137497">
      <w:pPr>
        <w:jc w:val="center"/>
        <w:rPr>
          <w:b/>
          <w:sz w:val="24"/>
          <w:szCs w:val="24"/>
        </w:rPr>
      </w:pPr>
    </w:p>
    <w:p w:rsidR="00BD24A2" w:rsidRDefault="00BD24A2" w:rsidP="00137497">
      <w:pPr>
        <w:jc w:val="center"/>
        <w:rPr>
          <w:b/>
          <w:sz w:val="24"/>
          <w:szCs w:val="24"/>
        </w:rPr>
      </w:pPr>
    </w:p>
    <w:p w:rsidR="00B01BD3" w:rsidRDefault="00B01BD3" w:rsidP="00137497">
      <w:pPr>
        <w:jc w:val="center"/>
        <w:rPr>
          <w:b/>
          <w:sz w:val="24"/>
          <w:szCs w:val="24"/>
        </w:rPr>
      </w:pPr>
    </w:p>
    <w:p w:rsidR="00606D2B" w:rsidRDefault="00606D2B" w:rsidP="00137497">
      <w:pPr>
        <w:jc w:val="center"/>
        <w:rPr>
          <w:b/>
          <w:sz w:val="24"/>
          <w:szCs w:val="24"/>
        </w:rPr>
      </w:pPr>
    </w:p>
    <w:p w:rsidR="00606D2B" w:rsidRDefault="00606D2B" w:rsidP="00137497">
      <w:pPr>
        <w:jc w:val="center"/>
        <w:rPr>
          <w:b/>
          <w:sz w:val="24"/>
          <w:szCs w:val="24"/>
        </w:rPr>
      </w:pPr>
    </w:p>
    <w:p w:rsidR="00BD24A2" w:rsidRDefault="00BD24A2" w:rsidP="00137497">
      <w:pPr>
        <w:jc w:val="center"/>
        <w:rPr>
          <w:b/>
          <w:sz w:val="24"/>
          <w:szCs w:val="24"/>
        </w:rPr>
      </w:pPr>
    </w:p>
    <w:p w:rsidR="00137497" w:rsidRPr="00F91D6E" w:rsidRDefault="00137497" w:rsidP="00137497">
      <w:pPr>
        <w:jc w:val="center"/>
        <w:rPr>
          <w:b/>
          <w:sz w:val="24"/>
          <w:szCs w:val="24"/>
        </w:rPr>
      </w:pPr>
      <w:r w:rsidRPr="00F91D6E">
        <w:rPr>
          <w:b/>
          <w:sz w:val="24"/>
          <w:szCs w:val="24"/>
        </w:rPr>
        <w:lastRenderedPageBreak/>
        <w:t>Illustration 2</w:t>
      </w:r>
    </w:p>
    <w:p w:rsidR="0035529E" w:rsidRPr="00F91D6E" w:rsidRDefault="0035529E" w:rsidP="00137497">
      <w:pPr>
        <w:jc w:val="center"/>
        <w:rPr>
          <w:b/>
          <w:sz w:val="24"/>
          <w:szCs w:val="24"/>
        </w:rPr>
      </w:pPr>
      <w:r w:rsidRPr="00F91D6E">
        <w:rPr>
          <w:b/>
          <w:sz w:val="24"/>
          <w:szCs w:val="24"/>
        </w:rPr>
        <w:t xml:space="preserve">Trend for Staff Numbers </w:t>
      </w:r>
    </w:p>
    <w:p w:rsidR="00137497" w:rsidRDefault="00137497" w:rsidP="00137497">
      <w:pPr>
        <w:jc w:val="center"/>
        <w:rPr>
          <w:b/>
        </w:rPr>
      </w:pPr>
    </w:p>
    <w:p w:rsidR="00137497" w:rsidRDefault="00B01BD3" w:rsidP="00137497">
      <w:pPr>
        <w:jc w:val="center"/>
        <w:rPr>
          <w:b/>
        </w:rPr>
      </w:pPr>
      <w:r w:rsidRPr="003D3D40">
        <w:rPr>
          <w:b/>
        </w:rPr>
        <w:object w:dxaOrig="8141" w:dyaOrig="1777">
          <v:shape id="_x0000_i1026" type="#_x0000_t75" style="width:407pt;height:88.8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BinaryMacroEnabled.12" ShapeID="_x0000_i1026" DrawAspect="Content" ObjectID="_1327746429" r:id="rId9"/>
        </w:object>
      </w:r>
    </w:p>
    <w:p w:rsidR="00B01BD3" w:rsidRDefault="00B01BD3" w:rsidP="00137497">
      <w:pPr>
        <w:jc w:val="center"/>
        <w:rPr>
          <w:b/>
        </w:rPr>
      </w:pPr>
    </w:p>
    <w:p w:rsidR="00BD24A2" w:rsidRPr="00F91D6E" w:rsidRDefault="00BD24A2" w:rsidP="00BD24A2">
      <w:pPr>
        <w:jc w:val="both"/>
        <w:rPr>
          <w:sz w:val="24"/>
          <w:szCs w:val="24"/>
        </w:rPr>
      </w:pPr>
      <w:r w:rsidRPr="00F91D6E">
        <w:rPr>
          <w:sz w:val="24"/>
          <w:szCs w:val="24"/>
        </w:rPr>
        <w:t xml:space="preserve">Illustration 3 shows changes in the percentage of students taught by the various ranks of full time faculty from 2004 to 2009.  This illustration shows a gradual decrease in the percentage of students taught by faculty at the rank of assistant, associate, or full professor and an increase in the SCH production at the levels of instructor and by ‘supplemental faculty’ which includes adjuncts, teaching assistants, and high school teachers in concurrent enrollment programs. </w:t>
      </w:r>
    </w:p>
    <w:p w:rsidR="0035529E" w:rsidRPr="00F91D6E" w:rsidRDefault="0035529E" w:rsidP="00F91D6E">
      <w:pPr>
        <w:rPr>
          <w:b/>
          <w:sz w:val="24"/>
          <w:szCs w:val="24"/>
        </w:rPr>
      </w:pPr>
    </w:p>
    <w:p w:rsidR="00AE4C62" w:rsidRPr="00F91D6E" w:rsidRDefault="00AE4C62" w:rsidP="00AE4C62">
      <w:pPr>
        <w:jc w:val="center"/>
        <w:rPr>
          <w:b/>
          <w:sz w:val="24"/>
          <w:szCs w:val="24"/>
        </w:rPr>
      </w:pPr>
      <w:r w:rsidRPr="00F91D6E">
        <w:rPr>
          <w:b/>
          <w:sz w:val="24"/>
          <w:szCs w:val="24"/>
        </w:rPr>
        <w:t xml:space="preserve">Illustration 3 </w:t>
      </w:r>
    </w:p>
    <w:p w:rsidR="00AE4C62" w:rsidRPr="00F91D6E" w:rsidRDefault="00AE4C62" w:rsidP="00AE4C62">
      <w:pPr>
        <w:jc w:val="center"/>
        <w:rPr>
          <w:b/>
          <w:sz w:val="24"/>
          <w:szCs w:val="24"/>
        </w:rPr>
      </w:pPr>
      <w:r w:rsidRPr="00F91D6E">
        <w:rPr>
          <w:b/>
          <w:sz w:val="24"/>
          <w:szCs w:val="24"/>
        </w:rPr>
        <w:t xml:space="preserve">Percentage of SCH Production by Various Faculty Ranks </w:t>
      </w:r>
    </w:p>
    <w:p w:rsidR="00AE4C62" w:rsidRPr="00F91D6E" w:rsidRDefault="00AE4C62" w:rsidP="00AE4C62">
      <w:pPr>
        <w:jc w:val="center"/>
        <w:rPr>
          <w:b/>
          <w:sz w:val="24"/>
          <w:szCs w:val="24"/>
        </w:rPr>
      </w:pPr>
    </w:p>
    <w:p w:rsidR="00AE4C62" w:rsidRDefault="00100A4E" w:rsidP="0035529E">
      <w:pPr>
        <w:jc w:val="both"/>
      </w:pPr>
      <w:r>
        <w:object w:dxaOrig="9832" w:dyaOrig="4101">
          <v:shape id="_x0000_i1027" type="#_x0000_t75" style="width:491.75pt;height:205.3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BinaryMacroEnabled.12" ShapeID="_x0000_i1027" DrawAspect="Content" ObjectID="_1327746430" r:id="rId11"/>
        </w:object>
      </w:r>
    </w:p>
    <w:p w:rsidR="004370D6" w:rsidRPr="00F91D6E" w:rsidRDefault="004370D6" w:rsidP="0035529E">
      <w:pPr>
        <w:jc w:val="both"/>
        <w:rPr>
          <w:sz w:val="24"/>
          <w:szCs w:val="24"/>
        </w:rPr>
      </w:pPr>
      <w:r w:rsidRPr="00F91D6E">
        <w:rPr>
          <w:sz w:val="24"/>
          <w:szCs w:val="24"/>
        </w:rPr>
        <w:t>Illustration 4 on the next page shows th</w:t>
      </w:r>
      <w:r w:rsidR="00100A4E">
        <w:rPr>
          <w:sz w:val="24"/>
          <w:szCs w:val="24"/>
        </w:rPr>
        <w:t xml:space="preserve">e % of the unrestricted budget </w:t>
      </w:r>
      <w:r w:rsidRPr="00F91D6E">
        <w:rPr>
          <w:sz w:val="24"/>
          <w:szCs w:val="24"/>
        </w:rPr>
        <w:t>spent on Instruction and Research during the time frame 2004 to 2009</w:t>
      </w:r>
      <w:r w:rsidR="00100A4E">
        <w:rPr>
          <w:sz w:val="24"/>
          <w:szCs w:val="24"/>
        </w:rPr>
        <w:t xml:space="preserve"> by the ASUJ campus</w:t>
      </w:r>
      <w:r w:rsidRPr="00F91D6E">
        <w:rPr>
          <w:sz w:val="24"/>
          <w:szCs w:val="24"/>
        </w:rPr>
        <w:t>.</w:t>
      </w:r>
      <w:r w:rsidR="00100A4E">
        <w:rPr>
          <w:sz w:val="24"/>
          <w:szCs w:val="24"/>
        </w:rPr>
        <w:t xml:space="preserve"> </w:t>
      </w:r>
      <w:r w:rsidRPr="00F91D6E">
        <w:rPr>
          <w:sz w:val="24"/>
          <w:szCs w:val="24"/>
        </w:rPr>
        <w:t xml:space="preserve"> </w:t>
      </w:r>
      <w:r w:rsidR="00100A4E">
        <w:rPr>
          <w:sz w:val="24"/>
          <w:szCs w:val="24"/>
        </w:rPr>
        <w:t>The so</w:t>
      </w:r>
      <w:r w:rsidR="00606D2B">
        <w:rPr>
          <w:sz w:val="24"/>
          <w:szCs w:val="24"/>
        </w:rPr>
        <w:t>urce of this data was</w:t>
      </w:r>
      <w:r w:rsidR="00100A4E">
        <w:rPr>
          <w:sz w:val="24"/>
          <w:szCs w:val="24"/>
        </w:rPr>
        <w:t xml:space="preserve"> the 2009 Fact Book on Arkansas Public Higher Education as prepared from data submitted to the Arkansas Department of Higher Education </w:t>
      </w:r>
      <w:r w:rsidR="00606D2B">
        <w:rPr>
          <w:sz w:val="24"/>
          <w:szCs w:val="24"/>
        </w:rPr>
        <w:t xml:space="preserve">by the respective institutions </w:t>
      </w:r>
      <w:r w:rsidR="00100A4E">
        <w:rPr>
          <w:sz w:val="24"/>
          <w:szCs w:val="24"/>
        </w:rPr>
        <w:t xml:space="preserve">and compiled by that office. </w:t>
      </w:r>
      <w:r w:rsidRPr="00F91D6E">
        <w:rPr>
          <w:sz w:val="24"/>
          <w:szCs w:val="24"/>
        </w:rPr>
        <w:t>While the AS</w:t>
      </w:r>
      <w:r w:rsidR="00195E4D" w:rsidRPr="00F91D6E">
        <w:rPr>
          <w:sz w:val="24"/>
          <w:szCs w:val="24"/>
        </w:rPr>
        <w:t>J research mission is supposed to be</w:t>
      </w:r>
      <w:r w:rsidRPr="00F91D6E">
        <w:rPr>
          <w:sz w:val="24"/>
          <w:szCs w:val="24"/>
        </w:rPr>
        <w:t xml:space="preserve"> incre</w:t>
      </w:r>
      <w:r w:rsidR="00417BC0" w:rsidRPr="00F91D6E">
        <w:rPr>
          <w:sz w:val="24"/>
          <w:szCs w:val="24"/>
        </w:rPr>
        <w:t>asing</w:t>
      </w:r>
      <w:r w:rsidR="00195E4D" w:rsidRPr="00F91D6E">
        <w:rPr>
          <w:sz w:val="24"/>
          <w:szCs w:val="24"/>
        </w:rPr>
        <w:t xml:space="preserve"> per institutional goals</w:t>
      </w:r>
      <w:r w:rsidR="00417BC0" w:rsidRPr="00F91D6E">
        <w:rPr>
          <w:sz w:val="24"/>
          <w:szCs w:val="24"/>
        </w:rPr>
        <w:t xml:space="preserve">, </w:t>
      </w:r>
      <w:r w:rsidR="00195E4D" w:rsidRPr="00F91D6E">
        <w:rPr>
          <w:sz w:val="24"/>
          <w:szCs w:val="24"/>
        </w:rPr>
        <w:t>the percentage spent</w:t>
      </w:r>
      <w:r w:rsidRPr="00F91D6E">
        <w:rPr>
          <w:sz w:val="24"/>
          <w:szCs w:val="24"/>
        </w:rPr>
        <w:t xml:space="preserve"> on teaching and research has fallen </w:t>
      </w:r>
      <w:r w:rsidR="008C58B8" w:rsidRPr="00F91D6E">
        <w:rPr>
          <w:sz w:val="24"/>
          <w:szCs w:val="24"/>
        </w:rPr>
        <w:t xml:space="preserve">from </w:t>
      </w:r>
      <w:r w:rsidRPr="00F91D6E">
        <w:rPr>
          <w:sz w:val="24"/>
          <w:szCs w:val="24"/>
        </w:rPr>
        <w:t>39.1% of the Unrestricted Educational and General spending</w:t>
      </w:r>
      <w:r w:rsidR="008C58B8" w:rsidRPr="00F91D6E">
        <w:rPr>
          <w:sz w:val="24"/>
          <w:szCs w:val="24"/>
        </w:rPr>
        <w:t xml:space="preserve"> in 2004 to 36.5% of the Unrestricted E&amp;G spending in 2009.  Similarly, the Instructional % has fallen from 37.2% to 34.6% of Unrestricted E&amp;G.   Because this trend could conceivable arise from greater availability of restricted grant moneys being used for research and buy-out of faculty teaching time,  the committee also looked at </w:t>
      </w:r>
      <w:r w:rsidR="008C58B8" w:rsidRPr="00F91D6E">
        <w:rPr>
          <w:sz w:val="24"/>
          <w:szCs w:val="24"/>
        </w:rPr>
        <w:lastRenderedPageBreak/>
        <w:t>the % of Instruction and Research expenditures from the total of Unrestricted and Restricted resources. Illustration 5 shows that the</w:t>
      </w:r>
      <w:r w:rsidR="00195E4D" w:rsidRPr="00F91D6E">
        <w:rPr>
          <w:sz w:val="24"/>
          <w:szCs w:val="24"/>
        </w:rPr>
        <w:t xml:space="preserve"> trend in</w:t>
      </w:r>
      <w:r w:rsidR="008C58B8" w:rsidRPr="00F91D6E">
        <w:rPr>
          <w:sz w:val="24"/>
          <w:szCs w:val="24"/>
        </w:rPr>
        <w:t xml:space="preserve"> percentage of the total Restricte</w:t>
      </w:r>
      <w:r w:rsidR="00417BC0" w:rsidRPr="00F91D6E">
        <w:rPr>
          <w:sz w:val="24"/>
          <w:szCs w:val="24"/>
        </w:rPr>
        <w:t xml:space="preserve">d and Unrestricted resources spent on Instruction and Research </w:t>
      </w:r>
      <w:r w:rsidR="00195E4D" w:rsidRPr="00F91D6E">
        <w:rPr>
          <w:sz w:val="24"/>
          <w:szCs w:val="24"/>
        </w:rPr>
        <w:t xml:space="preserve">is also </w:t>
      </w:r>
      <w:r w:rsidR="00417BC0" w:rsidRPr="00F91D6E">
        <w:rPr>
          <w:sz w:val="24"/>
          <w:szCs w:val="24"/>
        </w:rPr>
        <w:t>declining over time</w:t>
      </w:r>
      <w:r w:rsidR="008C58B8" w:rsidRPr="00F91D6E">
        <w:rPr>
          <w:sz w:val="24"/>
          <w:szCs w:val="24"/>
        </w:rPr>
        <w:t xml:space="preserve">. </w:t>
      </w:r>
    </w:p>
    <w:p w:rsidR="008C58B8" w:rsidRPr="00F91D6E" w:rsidRDefault="008C58B8" w:rsidP="008C58B8">
      <w:pPr>
        <w:rPr>
          <w:b/>
          <w:sz w:val="24"/>
          <w:szCs w:val="24"/>
        </w:rPr>
      </w:pPr>
    </w:p>
    <w:p w:rsidR="004370D6" w:rsidRPr="00F91D6E" w:rsidRDefault="004370D6" w:rsidP="004370D6">
      <w:pPr>
        <w:jc w:val="center"/>
        <w:rPr>
          <w:b/>
          <w:sz w:val="24"/>
          <w:szCs w:val="24"/>
        </w:rPr>
      </w:pPr>
      <w:r w:rsidRPr="00F91D6E">
        <w:rPr>
          <w:b/>
          <w:sz w:val="24"/>
          <w:szCs w:val="24"/>
        </w:rPr>
        <w:t xml:space="preserve">Illustration 4 </w:t>
      </w:r>
    </w:p>
    <w:p w:rsidR="004370D6" w:rsidRPr="00F91D6E" w:rsidRDefault="004370D6" w:rsidP="004370D6">
      <w:pPr>
        <w:jc w:val="center"/>
        <w:rPr>
          <w:b/>
          <w:sz w:val="24"/>
          <w:szCs w:val="24"/>
        </w:rPr>
      </w:pPr>
      <w:r w:rsidRPr="00F91D6E">
        <w:rPr>
          <w:b/>
          <w:sz w:val="24"/>
          <w:szCs w:val="24"/>
        </w:rPr>
        <w:t xml:space="preserve">Percentage of Unrestricted E&amp;G Spent on Instruction and Research </w:t>
      </w:r>
    </w:p>
    <w:p w:rsidR="00417BC0" w:rsidRDefault="00417BC0" w:rsidP="004370D6">
      <w:pPr>
        <w:jc w:val="center"/>
        <w:rPr>
          <w:b/>
        </w:rPr>
      </w:pPr>
    </w:p>
    <w:p w:rsidR="00417BC0" w:rsidRPr="004370D6" w:rsidRDefault="00417BC0" w:rsidP="004370D6">
      <w:pPr>
        <w:jc w:val="center"/>
        <w:rPr>
          <w:b/>
        </w:rPr>
      </w:pPr>
      <w:r w:rsidRPr="00417BC0">
        <w:rPr>
          <w:b/>
          <w:noProof/>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0D6" w:rsidRDefault="004370D6" w:rsidP="00417BC0"/>
    <w:p w:rsidR="0035529E" w:rsidRPr="00F91D6E" w:rsidRDefault="0035529E" w:rsidP="0035529E">
      <w:pPr>
        <w:jc w:val="both"/>
        <w:rPr>
          <w:sz w:val="24"/>
          <w:szCs w:val="24"/>
        </w:rPr>
      </w:pPr>
    </w:p>
    <w:p w:rsidR="008C58B8" w:rsidRPr="00F91D6E" w:rsidRDefault="008C58B8" w:rsidP="008C58B8">
      <w:pPr>
        <w:jc w:val="center"/>
        <w:rPr>
          <w:b/>
          <w:sz w:val="24"/>
          <w:szCs w:val="24"/>
        </w:rPr>
      </w:pPr>
      <w:r w:rsidRPr="00F91D6E">
        <w:rPr>
          <w:b/>
          <w:sz w:val="24"/>
          <w:szCs w:val="24"/>
        </w:rPr>
        <w:t>Illustration 5</w:t>
      </w:r>
    </w:p>
    <w:p w:rsidR="008C58B8" w:rsidRPr="00F91D6E" w:rsidRDefault="00100A4E" w:rsidP="00100A4E">
      <w:pPr>
        <w:jc w:val="center"/>
        <w:rPr>
          <w:b/>
          <w:sz w:val="24"/>
          <w:szCs w:val="24"/>
        </w:rPr>
      </w:pPr>
      <w:r>
        <w:rPr>
          <w:b/>
          <w:sz w:val="24"/>
          <w:szCs w:val="24"/>
        </w:rPr>
        <w:t>% of Total Restricted &amp;</w:t>
      </w:r>
      <w:r w:rsidR="008C58B8" w:rsidRPr="00F91D6E">
        <w:rPr>
          <w:b/>
          <w:sz w:val="24"/>
          <w:szCs w:val="24"/>
        </w:rPr>
        <w:t xml:space="preserve"> Unrestricted  E&amp;G Spent on Instruction and Research</w:t>
      </w:r>
    </w:p>
    <w:p w:rsidR="008C58B8" w:rsidRPr="007D37D3" w:rsidRDefault="008C58B8" w:rsidP="008C58B8">
      <w:pPr>
        <w:jc w:val="center"/>
        <w:rPr>
          <w:b/>
          <w:sz w:val="24"/>
          <w:szCs w:val="24"/>
        </w:rPr>
      </w:pPr>
    </w:p>
    <w:p w:rsidR="000B6554" w:rsidRDefault="00417BC0" w:rsidP="00F91D6E">
      <w:pPr>
        <w:jc w:val="center"/>
        <w:rPr>
          <w:b/>
        </w:rPr>
      </w:pPr>
      <w:r w:rsidRPr="00417BC0">
        <w:rPr>
          <w:b/>
          <w:noProof/>
        </w:rPr>
        <w:drawing>
          <wp:inline distT="0" distB="0" distL="0" distR="0">
            <wp:extent cx="4682010" cy="2959443"/>
            <wp:effectExtent l="19050" t="0" r="233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0A4E" w:rsidRDefault="00100A4E" w:rsidP="000B6554">
      <w:pPr>
        <w:jc w:val="center"/>
        <w:rPr>
          <w:b/>
          <w:sz w:val="24"/>
          <w:szCs w:val="24"/>
        </w:rPr>
      </w:pPr>
    </w:p>
    <w:p w:rsidR="00100A4E" w:rsidRDefault="00100A4E" w:rsidP="000B6554">
      <w:pPr>
        <w:jc w:val="center"/>
        <w:rPr>
          <w:b/>
          <w:sz w:val="24"/>
          <w:szCs w:val="24"/>
        </w:rPr>
      </w:pPr>
    </w:p>
    <w:p w:rsidR="000B6554" w:rsidRPr="00F91D6E" w:rsidRDefault="000B6554" w:rsidP="000B6554">
      <w:pPr>
        <w:jc w:val="center"/>
        <w:rPr>
          <w:b/>
          <w:sz w:val="24"/>
          <w:szCs w:val="24"/>
        </w:rPr>
      </w:pPr>
      <w:r w:rsidRPr="00F91D6E">
        <w:rPr>
          <w:b/>
          <w:sz w:val="24"/>
          <w:szCs w:val="24"/>
        </w:rPr>
        <w:t xml:space="preserve">Summary </w:t>
      </w:r>
    </w:p>
    <w:p w:rsidR="000B6554" w:rsidRPr="00F91D6E" w:rsidRDefault="000B6554" w:rsidP="000B6554">
      <w:pPr>
        <w:jc w:val="center"/>
        <w:rPr>
          <w:b/>
          <w:sz w:val="24"/>
          <w:szCs w:val="24"/>
        </w:rPr>
      </w:pPr>
    </w:p>
    <w:p w:rsidR="00CE463C" w:rsidRPr="00F91D6E" w:rsidRDefault="000B6554" w:rsidP="000B6554">
      <w:pPr>
        <w:jc w:val="both"/>
        <w:rPr>
          <w:sz w:val="24"/>
          <w:szCs w:val="24"/>
        </w:rPr>
      </w:pPr>
      <w:r w:rsidRPr="00F91D6E">
        <w:rPr>
          <w:sz w:val="24"/>
          <w:szCs w:val="24"/>
        </w:rPr>
        <w:t xml:space="preserve">The data presented in this report demonstrates that the increases in staff positions over the preceding five years have clearly outpaced the level of increases in enrollment. The Faculty Senate Finance Committee does not see it as their role to pick out and determine which staff (or faculty) increases were essential and which were not.   It is the understanding of the Faculty Senate Finance Committee that the University Planning Committee has stated that looking at mission driven adjustments in employee composition will be a last resort.  </w:t>
      </w:r>
      <w:r w:rsidR="00CE463C" w:rsidRPr="00F91D6E">
        <w:rPr>
          <w:sz w:val="24"/>
          <w:szCs w:val="24"/>
        </w:rPr>
        <w:t>Further, t</w:t>
      </w:r>
      <w:r w:rsidRPr="00F91D6E">
        <w:rPr>
          <w:sz w:val="24"/>
          <w:szCs w:val="24"/>
        </w:rPr>
        <w:t>he Academic Budget Committee</w:t>
      </w:r>
      <w:r w:rsidR="00CE463C" w:rsidRPr="00F91D6E">
        <w:rPr>
          <w:sz w:val="24"/>
          <w:szCs w:val="24"/>
        </w:rPr>
        <w:t xml:space="preserve"> (a part of the shared governance structure)</w:t>
      </w:r>
      <w:r w:rsidRPr="00F91D6E">
        <w:rPr>
          <w:sz w:val="24"/>
          <w:szCs w:val="24"/>
        </w:rPr>
        <w:t xml:space="preserve"> seems to have been largely inactive for the last two years. While the Faculty Senate Finance Committee recognizes that there is a time and place to increase administrative and professional staff in advance of enrollment increases in order to achieve new strategic initiatives, the Committee’s primary concern is that to our knowledge neither the relative composition of the staff and nor the percentage spending for the various functional duties such as Instruction and Research seem to be on the active agenda of any broad based institutional committees. </w:t>
      </w:r>
    </w:p>
    <w:p w:rsidR="00CE463C" w:rsidRPr="00F91D6E" w:rsidRDefault="00CE463C" w:rsidP="000B6554">
      <w:pPr>
        <w:jc w:val="both"/>
        <w:rPr>
          <w:sz w:val="24"/>
          <w:szCs w:val="24"/>
        </w:rPr>
      </w:pPr>
    </w:p>
    <w:p w:rsidR="000B6554" w:rsidRPr="00F91D6E" w:rsidRDefault="000B6554" w:rsidP="000B6554">
      <w:pPr>
        <w:jc w:val="both"/>
        <w:rPr>
          <w:sz w:val="24"/>
          <w:szCs w:val="24"/>
        </w:rPr>
      </w:pPr>
      <w:r w:rsidRPr="00F91D6E">
        <w:rPr>
          <w:sz w:val="24"/>
          <w:szCs w:val="24"/>
        </w:rPr>
        <w:t>In recessionary times, the public is very concerned that their students’ tuition dollars be put to efficient and effect</w:t>
      </w:r>
      <w:r w:rsidR="00195E4D" w:rsidRPr="00F91D6E">
        <w:rPr>
          <w:sz w:val="24"/>
          <w:szCs w:val="24"/>
        </w:rPr>
        <w:t>ive</w:t>
      </w:r>
      <w:r w:rsidRPr="00F91D6E">
        <w:rPr>
          <w:sz w:val="24"/>
          <w:szCs w:val="24"/>
        </w:rPr>
        <w:t xml:space="preserve"> use.  The data reported in this report suggests that the increases in university costs are NOT primarily related to increased costs for faculty salaries or the research mission of the institution.  While it is not the Faculty Senate Finance Committee’s job to stand in the stead of the Chancellor or University Planning Committee in making strategic decisions, we do express concerns about how the university can justify significant increases in </w:t>
      </w:r>
      <w:r w:rsidR="00CE463C" w:rsidRPr="00F91D6E">
        <w:rPr>
          <w:sz w:val="24"/>
          <w:szCs w:val="24"/>
        </w:rPr>
        <w:t xml:space="preserve">professional and paraprofessional </w:t>
      </w:r>
      <w:r w:rsidRPr="00F91D6E">
        <w:rPr>
          <w:sz w:val="24"/>
          <w:szCs w:val="24"/>
        </w:rPr>
        <w:t xml:space="preserve">staff </w:t>
      </w:r>
      <w:r w:rsidR="00CE463C" w:rsidRPr="00F91D6E">
        <w:rPr>
          <w:sz w:val="24"/>
          <w:szCs w:val="24"/>
        </w:rPr>
        <w:t xml:space="preserve">levels </w:t>
      </w:r>
      <w:r w:rsidRPr="00F91D6E">
        <w:rPr>
          <w:sz w:val="24"/>
          <w:szCs w:val="24"/>
        </w:rPr>
        <w:t>when this does not leave sufficient resources for adequate</w:t>
      </w:r>
      <w:r w:rsidR="00CE463C" w:rsidRPr="00F91D6E">
        <w:rPr>
          <w:sz w:val="24"/>
          <w:szCs w:val="24"/>
        </w:rPr>
        <w:t xml:space="preserve"> cost of living raises to retain </w:t>
      </w:r>
      <w:r w:rsidRPr="00F91D6E">
        <w:rPr>
          <w:sz w:val="24"/>
          <w:szCs w:val="24"/>
        </w:rPr>
        <w:t xml:space="preserve">current or new </w:t>
      </w:r>
      <w:r w:rsidR="00CE463C" w:rsidRPr="00F91D6E">
        <w:rPr>
          <w:sz w:val="24"/>
          <w:szCs w:val="24"/>
        </w:rPr>
        <w:t xml:space="preserve">faculty and </w:t>
      </w:r>
      <w:r w:rsidRPr="00F91D6E">
        <w:rPr>
          <w:sz w:val="24"/>
          <w:szCs w:val="24"/>
        </w:rPr>
        <w:t xml:space="preserve">staff salaries.  </w:t>
      </w:r>
    </w:p>
    <w:p w:rsidR="000B6554" w:rsidRPr="00F91D6E" w:rsidRDefault="000B6554" w:rsidP="000B6554">
      <w:pPr>
        <w:jc w:val="both"/>
        <w:rPr>
          <w:sz w:val="24"/>
          <w:szCs w:val="24"/>
        </w:rPr>
      </w:pPr>
      <w:r w:rsidRPr="00F91D6E">
        <w:rPr>
          <w:sz w:val="24"/>
          <w:szCs w:val="24"/>
        </w:rPr>
        <w:t xml:space="preserve">  </w:t>
      </w:r>
    </w:p>
    <w:p w:rsidR="000B6554" w:rsidRPr="00F91D6E" w:rsidRDefault="000B6554" w:rsidP="008C58B8">
      <w:pPr>
        <w:jc w:val="center"/>
        <w:rPr>
          <w:b/>
          <w:sz w:val="24"/>
          <w:szCs w:val="24"/>
        </w:rPr>
      </w:pPr>
    </w:p>
    <w:sectPr w:rsidR="000B6554" w:rsidRPr="00F91D6E" w:rsidSect="004370D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01" w:rsidRDefault="00632E01" w:rsidP="00CE463C">
      <w:r>
        <w:separator/>
      </w:r>
    </w:p>
  </w:endnote>
  <w:endnote w:type="continuationSeparator" w:id="0">
    <w:p w:rsidR="00632E01" w:rsidRDefault="00632E01" w:rsidP="00CE46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9579"/>
      <w:docPartObj>
        <w:docPartGallery w:val="Page Numbers (Bottom of Page)"/>
        <w:docPartUnique/>
      </w:docPartObj>
    </w:sdtPr>
    <w:sdtContent>
      <w:p w:rsidR="00CE463C" w:rsidRDefault="00B533EE">
        <w:pPr>
          <w:pStyle w:val="Footer"/>
          <w:jc w:val="center"/>
        </w:pPr>
        <w:fldSimple w:instr=" PAGE   \* MERGEFORMAT ">
          <w:r w:rsidR="00B233BC">
            <w:rPr>
              <w:noProof/>
            </w:rPr>
            <w:t>1</w:t>
          </w:r>
        </w:fldSimple>
      </w:p>
    </w:sdtContent>
  </w:sdt>
  <w:p w:rsidR="00CE463C" w:rsidRDefault="00CE4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01" w:rsidRDefault="00632E01" w:rsidP="00CE463C">
      <w:r>
        <w:separator/>
      </w:r>
    </w:p>
  </w:footnote>
  <w:footnote w:type="continuationSeparator" w:id="0">
    <w:p w:rsidR="00632E01" w:rsidRDefault="00632E01" w:rsidP="00CE4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23C2A"/>
    <w:rsid w:val="000B6554"/>
    <w:rsid w:val="00100A4E"/>
    <w:rsid w:val="00137497"/>
    <w:rsid w:val="00152EC3"/>
    <w:rsid w:val="00195E4D"/>
    <w:rsid w:val="001C3937"/>
    <w:rsid w:val="00244F6F"/>
    <w:rsid w:val="00347A3D"/>
    <w:rsid w:val="0035529E"/>
    <w:rsid w:val="003D3D40"/>
    <w:rsid w:val="00417BC0"/>
    <w:rsid w:val="004370D6"/>
    <w:rsid w:val="00467DFD"/>
    <w:rsid w:val="004A1D14"/>
    <w:rsid w:val="00566CA7"/>
    <w:rsid w:val="00570C87"/>
    <w:rsid w:val="005E5FB1"/>
    <w:rsid w:val="00606D2B"/>
    <w:rsid w:val="00632E01"/>
    <w:rsid w:val="00656F31"/>
    <w:rsid w:val="0068207F"/>
    <w:rsid w:val="006923EC"/>
    <w:rsid w:val="007D37D3"/>
    <w:rsid w:val="008678EE"/>
    <w:rsid w:val="008C58B8"/>
    <w:rsid w:val="00A23C2A"/>
    <w:rsid w:val="00AE4C62"/>
    <w:rsid w:val="00B0177B"/>
    <w:rsid w:val="00B01BD3"/>
    <w:rsid w:val="00B233BC"/>
    <w:rsid w:val="00B533EE"/>
    <w:rsid w:val="00BD24A2"/>
    <w:rsid w:val="00CE463C"/>
    <w:rsid w:val="00CE6164"/>
    <w:rsid w:val="00D2498A"/>
    <w:rsid w:val="00D3202C"/>
    <w:rsid w:val="00D57E32"/>
    <w:rsid w:val="00DA5B39"/>
    <w:rsid w:val="00E30258"/>
    <w:rsid w:val="00F91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BC0"/>
    <w:rPr>
      <w:rFonts w:ascii="Tahoma" w:hAnsi="Tahoma" w:cs="Tahoma"/>
      <w:sz w:val="16"/>
      <w:szCs w:val="16"/>
    </w:rPr>
  </w:style>
  <w:style w:type="character" w:customStyle="1" w:styleId="BalloonTextChar">
    <w:name w:val="Balloon Text Char"/>
    <w:basedOn w:val="DefaultParagraphFont"/>
    <w:link w:val="BalloonText"/>
    <w:uiPriority w:val="99"/>
    <w:semiHidden/>
    <w:rsid w:val="00417BC0"/>
    <w:rPr>
      <w:rFonts w:ascii="Tahoma" w:hAnsi="Tahoma" w:cs="Tahoma"/>
      <w:sz w:val="16"/>
      <w:szCs w:val="16"/>
    </w:rPr>
  </w:style>
  <w:style w:type="paragraph" w:styleId="Header">
    <w:name w:val="header"/>
    <w:basedOn w:val="Normal"/>
    <w:link w:val="HeaderChar"/>
    <w:uiPriority w:val="99"/>
    <w:semiHidden/>
    <w:unhideWhenUsed/>
    <w:rsid w:val="00CE463C"/>
    <w:pPr>
      <w:tabs>
        <w:tab w:val="center" w:pos="4680"/>
        <w:tab w:val="right" w:pos="9360"/>
      </w:tabs>
    </w:pPr>
  </w:style>
  <w:style w:type="character" w:customStyle="1" w:styleId="HeaderChar">
    <w:name w:val="Header Char"/>
    <w:basedOn w:val="DefaultParagraphFont"/>
    <w:link w:val="Header"/>
    <w:uiPriority w:val="99"/>
    <w:semiHidden/>
    <w:rsid w:val="00CE463C"/>
  </w:style>
  <w:style w:type="paragraph" w:styleId="Footer">
    <w:name w:val="footer"/>
    <w:basedOn w:val="Normal"/>
    <w:link w:val="FooterChar"/>
    <w:uiPriority w:val="99"/>
    <w:unhideWhenUsed/>
    <w:rsid w:val="00CE463C"/>
    <w:pPr>
      <w:tabs>
        <w:tab w:val="center" w:pos="4680"/>
        <w:tab w:val="right" w:pos="9360"/>
      </w:tabs>
    </w:pPr>
  </w:style>
  <w:style w:type="character" w:customStyle="1" w:styleId="FooterChar">
    <w:name w:val="Footer Char"/>
    <w:basedOn w:val="DefaultParagraphFont"/>
    <w:link w:val="Footer"/>
    <w:uiPriority w:val="99"/>
    <w:rsid w:val="00CE463C"/>
  </w:style>
</w:styles>
</file>

<file path=word/webSettings.xml><?xml version="1.0" encoding="utf-8"?>
<w:webSettings xmlns:r="http://schemas.openxmlformats.org/officeDocument/2006/relationships" xmlns:w="http://schemas.openxmlformats.org/wordprocessingml/2006/main">
  <w:divs>
    <w:div w:id="908804551">
      <w:bodyDiv w:val="1"/>
      <w:marLeft w:val="0"/>
      <w:marRight w:val="0"/>
      <w:marTop w:val="0"/>
      <w:marBottom w:val="0"/>
      <w:divBdr>
        <w:top w:val="none" w:sz="0" w:space="0" w:color="auto"/>
        <w:left w:val="none" w:sz="0" w:space="0" w:color="auto"/>
        <w:bottom w:val="none" w:sz="0" w:space="0" w:color="auto"/>
        <w:right w:val="none" w:sz="0" w:space="0" w:color="auto"/>
      </w:divBdr>
    </w:div>
    <w:div w:id="14728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Office_Excel_Binary_Worksheet3.xlsb"/><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Office_Excel_Binary_Worksheet2.xlsb"/><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moore\Application%20Data\Microsoft\Excel\ASUFinance2010%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moore\Application%20Data\Microsoft\Excel\ASUFinance201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SOURCE:</a:t>
            </a:r>
            <a:r>
              <a:rPr lang="en-US" sz="1200" baseline="0"/>
              <a:t> ADHE 2009 Factbook </a:t>
            </a:r>
            <a:endParaRPr lang="en-US" sz="1200"/>
          </a:p>
        </c:rich>
      </c:tx>
      <c:layout>
        <c:manualLayout>
          <c:xMode val="edge"/>
          <c:yMode val="edge"/>
          <c:x val="0.47238888888888941"/>
          <c:y val="2.7777777777777821E-2"/>
        </c:manualLayout>
      </c:layout>
    </c:title>
    <c:plotArea>
      <c:layout/>
      <c:lineChart>
        <c:grouping val="standard"/>
        <c:ser>
          <c:idx val="0"/>
          <c:order val="0"/>
          <c:tx>
            <c:strRef>
              <c:f>'%of EG to InstrResearch'!$A$22:$B$22</c:f>
              <c:strCache>
                <c:ptCount val="1"/>
                <c:pt idx="0">
                  <c:v>INSTR % of Total UR E&amp;G</c:v>
                </c:pt>
              </c:strCache>
            </c:strRef>
          </c:tx>
          <c:marker>
            <c:symbol val="none"/>
          </c:marker>
          <c:dLbls>
            <c:showVal val="1"/>
          </c:dLbls>
          <c:cat>
            <c:numRef>
              <c:f>'%of EG to InstrResearch'!$C$21:$H$21</c:f>
              <c:numCache>
                <c:formatCode>_(* #,##0_);_(* \(#,##0\);_(* "-"??_);_(@_)</c:formatCode>
                <c:ptCount val="6"/>
                <c:pt idx="0">
                  <c:v>2004</c:v>
                </c:pt>
                <c:pt idx="1">
                  <c:v>2005</c:v>
                </c:pt>
                <c:pt idx="2">
                  <c:v>2006</c:v>
                </c:pt>
                <c:pt idx="3">
                  <c:v>2007</c:v>
                </c:pt>
                <c:pt idx="4">
                  <c:v>2008</c:v>
                </c:pt>
                <c:pt idx="5">
                  <c:v>2009</c:v>
                </c:pt>
              </c:numCache>
            </c:numRef>
          </c:cat>
          <c:val>
            <c:numRef>
              <c:f>'%of EG to InstrResearch'!$C$22:$H$22</c:f>
              <c:numCache>
                <c:formatCode>0.0%</c:formatCode>
                <c:ptCount val="6"/>
                <c:pt idx="0">
                  <c:v>0.37216437914174494</c:v>
                </c:pt>
                <c:pt idx="1">
                  <c:v>0.378533718918246</c:v>
                </c:pt>
                <c:pt idx="2">
                  <c:v>0.36673167807212093</c:v>
                </c:pt>
                <c:pt idx="3">
                  <c:v>0.36334931556381211</c:v>
                </c:pt>
                <c:pt idx="4">
                  <c:v>0.35092047203694315</c:v>
                </c:pt>
                <c:pt idx="5">
                  <c:v>0.34630517314108317</c:v>
                </c:pt>
              </c:numCache>
            </c:numRef>
          </c:val>
        </c:ser>
        <c:ser>
          <c:idx val="1"/>
          <c:order val="1"/>
          <c:tx>
            <c:strRef>
              <c:f>'%of EG to InstrResearch'!$A$23:$B$23</c:f>
              <c:strCache>
                <c:ptCount val="1"/>
                <c:pt idx="0">
                  <c:v>Instr &amp; Research % of Total UnRes E&amp;G</c:v>
                </c:pt>
              </c:strCache>
            </c:strRef>
          </c:tx>
          <c:marker>
            <c:symbol val="none"/>
          </c:marker>
          <c:dLbls>
            <c:showVal val="1"/>
          </c:dLbls>
          <c:cat>
            <c:numRef>
              <c:f>'%of EG to InstrResearch'!$C$21:$H$21</c:f>
              <c:numCache>
                <c:formatCode>_(* #,##0_);_(* \(#,##0\);_(* "-"??_);_(@_)</c:formatCode>
                <c:ptCount val="6"/>
                <c:pt idx="0">
                  <c:v>2004</c:v>
                </c:pt>
                <c:pt idx="1">
                  <c:v>2005</c:v>
                </c:pt>
                <c:pt idx="2">
                  <c:v>2006</c:v>
                </c:pt>
                <c:pt idx="3">
                  <c:v>2007</c:v>
                </c:pt>
                <c:pt idx="4">
                  <c:v>2008</c:v>
                </c:pt>
                <c:pt idx="5">
                  <c:v>2009</c:v>
                </c:pt>
              </c:numCache>
            </c:numRef>
          </c:cat>
          <c:val>
            <c:numRef>
              <c:f>'%of EG to InstrResearch'!$C$23:$H$23</c:f>
              <c:numCache>
                <c:formatCode>0.0%</c:formatCode>
                <c:ptCount val="6"/>
                <c:pt idx="0">
                  <c:v>0.39112953264997224</c:v>
                </c:pt>
                <c:pt idx="1">
                  <c:v>0.38251383141847212</c:v>
                </c:pt>
                <c:pt idx="2">
                  <c:v>0.38788093806145996</c:v>
                </c:pt>
                <c:pt idx="3">
                  <c:v>0.36525742485403839</c:v>
                </c:pt>
                <c:pt idx="4">
                  <c:v>0.37005890200102631</c:v>
                </c:pt>
                <c:pt idx="5">
                  <c:v>0.36475054645856503</c:v>
                </c:pt>
              </c:numCache>
            </c:numRef>
          </c:val>
        </c:ser>
        <c:marker val="1"/>
        <c:axId val="117004928"/>
        <c:axId val="117036928"/>
      </c:lineChart>
      <c:catAx>
        <c:axId val="117004928"/>
        <c:scaling>
          <c:orientation val="minMax"/>
        </c:scaling>
        <c:axPos val="b"/>
        <c:numFmt formatCode="_(* #,##0_);_(* \(#,##0\);_(* &quot;-&quot;??_);_(@_)" sourceLinked="1"/>
        <c:majorTickMark val="none"/>
        <c:tickLblPos val="nextTo"/>
        <c:crossAx val="117036928"/>
        <c:crosses val="autoZero"/>
        <c:auto val="1"/>
        <c:lblAlgn val="ctr"/>
        <c:lblOffset val="100"/>
      </c:catAx>
      <c:valAx>
        <c:axId val="117036928"/>
        <c:scaling>
          <c:orientation val="minMax"/>
        </c:scaling>
        <c:axPos val="l"/>
        <c:majorGridlines/>
        <c:title>
          <c:tx>
            <c:rich>
              <a:bodyPr/>
              <a:lstStyle/>
              <a:p>
                <a:pPr>
                  <a:defRPr/>
                </a:pPr>
                <a:r>
                  <a:rPr lang="en-US"/>
                  <a:t>%</a:t>
                </a:r>
                <a:r>
                  <a:rPr lang="en-US" baseline="0"/>
                  <a:t> of Unres E&amp;G</a:t>
                </a:r>
                <a:endParaRPr lang="en-US"/>
              </a:p>
            </c:rich>
          </c:tx>
        </c:title>
        <c:numFmt formatCode="0.0%" sourceLinked="1"/>
        <c:majorTickMark val="none"/>
        <c:tickLblPos val="nextTo"/>
        <c:crossAx val="117004928"/>
        <c:crosses val="autoZero"/>
        <c:crossBetween val="between"/>
      </c:valAx>
      <c:dTable>
        <c:showHorzBorder val="1"/>
        <c:showVertBorder val="1"/>
        <c:showOutline val="1"/>
        <c:showKeys val="1"/>
      </c:dTable>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SOURCE:</a:t>
            </a:r>
            <a:r>
              <a:rPr lang="en-US" sz="1200" baseline="0"/>
              <a:t> 2009 ADHE Factbook </a:t>
            </a:r>
            <a:endParaRPr lang="en-US" sz="1200"/>
          </a:p>
        </c:rich>
      </c:tx>
      <c:layout>
        <c:manualLayout>
          <c:xMode val="edge"/>
          <c:yMode val="edge"/>
          <c:x val="0.45636906979041564"/>
          <c:y val="2.4410641851586729E-2"/>
        </c:manualLayout>
      </c:layout>
    </c:title>
    <c:plotArea>
      <c:layout/>
      <c:lineChart>
        <c:grouping val="standard"/>
        <c:ser>
          <c:idx val="0"/>
          <c:order val="0"/>
          <c:tx>
            <c:strRef>
              <c:f>'%of EG to InstrResearch'!$A$25:$B$25</c:f>
              <c:strCache>
                <c:ptCount val="1"/>
                <c:pt idx="0">
                  <c:v>Instr % of Restricted &amp; Unrestricted E&amp;G</c:v>
                </c:pt>
              </c:strCache>
            </c:strRef>
          </c:tx>
          <c:marker>
            <c:symbol val="none"/>
          </c:marker>
          <c:dLbls>
            <c:showVal val="1"/>
          </c:dLbls>
          <c:cat>
            <c:numRef>
              <c:f>'%of EG to InstrResearch'!$C$24:$H$24</c:f>
              <c:numCache>
                <c:formatCode>0</c:formatCode>
                <c:ptCount val="6"/>
                <c:pt idx="0">
                  <c:v>2004</c:v>
                </c:pt>
                <c:pt idx="1">
                  <c:v>2005</c:v>
                </c:pt>
                <c:pt idx="2">
                  <c:v>2006</c:v>
                </c:pt>
                <c:pt idx="3">
                  <c:v>2007</c:v>
                </c:pt>
                <c:pt idx="4">
                  <c:v>2008</c:v>
                </c:pt>
                <c:pt idx="5">
                  <c:v>2009</c:v>
                </c:pt>
              </c:numCache>
            </c:numRef>
          </c:cat>
          <c:val>
            <c:numRef>
              <c:f>'%of EG to InstrResearch'!$C$25:$H$25</c:f>
              <c:numCache>
                <c:formatCode>0.0%</c:formatCode>
                <c:ptCount val="6"/>
                <c:pt idx="0">
                  <c:v>0.28700984779968752</c:v>
                </c:pt>
                <c:pt idx="1">
                  <c:v>0.2907942870340714</c:v>
                </c:pt>
                <c:pt idx="2">
                  <c:v>0.27260107244945508</c:v>
                </c:pt>
                <c:pt idx="3">
                  <c:v>0.27180550220964778</c:v>
                </c:pt>
                <c:pt idx="4">
                  <c:v>0.26213340963892723</c:v>
                </c:pt>
                <c:pt idx="5">
                  <c:v>0.25016653178968062</c:v>
                </c:pt>
              </c:numCache>
            </c:numRef>
          </c:val>
        </c:ser>
        <c:ser>
          <c:idx val="1"/>
          <c:order val="1"/>
          <c:tx>
            <c:strRef>
              <c:f>'%of EG to InstrResearch'!$A$26:$B$26</c:f>
              <c:strCache>
                <c:ptCount val="1"/>
                <c:pt idx="0">
                  <c:v>Instr &amp; Research % of Res &amp; Unres E&amp;G </c:v>
                </c:pt>
              </c:strCache>
            </c:strRef>
          </c:tx>
          <c:marker>
            <c:symbol val="none"/>
          </c:marker>
          <c:dLbls>
            <c:showVal val="1"/>
          </c:dLbls>
          <c:cat>
            <c:numRef>
              <c:f>'%of EG to InstrResearch'!$C$24:$H$24</c:f>
              <c:numCache>
                <c:formatCode>0</c:formatCode>
                <c:ptCount val="6"/>
                <c:pt idx="0">
                  <c:v>2004</c:v>
                </c:pt>
                <c:pt idx="1">
                  <c:v>2005</c:v>
                </c:pt>
                <c:pt idx="2">
                  <c:v>2006</c:v>
                </c:pt>
                <c:pt idx="3">
                  <c:v>2007</c:v>
                </c:pt>
                <c:pt idx="4">
                  <c:v>2008</c:v>
                </c:pt>
                <c:pt idx="5">
                  <c:v>2009</c:v>
                </c:pt>
              </c:numCache>
            </c:numRef>
          </c:cat>
          <c:val>
            <c:numRef>
              <c:f>'%of EG to InstrResearch'!$C$26:$H$26</c:f>
              <c:numCache>
                <c:formatCode>0.0%</c:formatCode>
                <c:ptCount val="6"/>
                <c:pt idx="0">
                  <c:v>0.33997887376883318</c:v>
                </c:pt>
                <c:pt idx="1">
                  <c:v>0.33736598594854939</c:v>
                </c:pt>
                <c:pt idx="2">
                  <c:v>0.33685206178755672</c:v>
                </c:pt>
                <c:pt idx="3">
                  <c:v>0.33191149061230035</c:v>
                </c:pt>
                <c:pt idx="4">
                  <c:v>0.32736800985168546</c:v>
                </c:pt>
                <c:pt idx="5">
                  <c:v>0.32422225525332132</c:v>
                </c:pt>
              </c:numCache>
            </c:numRef>
          </c:val>
        </c:ser>
        <c:marker val="1"/>
        <c:axId val="127562496"/>
        <c:axId val="127564032"/>
      </c:lineChart>
      <c:catAx>
        <c:axId val="127562496"/>
        <c:scaling>
          <c:orientation val="minMax"/>
        </c:scaling>
        <c:axPos val="b"/>
        <c:numFmt formatCode="0" sourceLinked="1"/>
        <c:majorTickMark val="none"/>
        <c:tickLblPos val="nextTo"/>
        <c:crossAx val="127564032"/>
        <c:crosses val="autoZero"/>
        <c:auto val="1"/>
        <c:lblAlgn val="ctr"/>
        <c:lblOffset val="100"/>
      </c:catAx>
      <c:valAx>
        <c:axId val="127564032"/>
        <c:scaling>
          <c:orientation val="minMax"/>
        </c:scaling>
        <c:axPos val="l"/>
        <c:majorGridlines/>
        <c:title>
          <c:tx>
            <c:rich>
              <a:bodyPr/>
              <a:lstStyle/>
              <a:p>
                <a:pPr>
                  <a:defRPr/>
                </a:pPr>
                <a:r>
                  <a:rPr lang="en-US"/>
                  <a:t>%</a:t>
                </a:r>
                <a:r>
                  <a:rPr lang="en-US" baseline="0"/>
                  <a:t> of Res &amp; Unres E&amp;G</a:t>
                </a:r>
                <a:endParaRPr lang="en-US"/>
              </a:p>
            </c:rich>
          </c:tx>
        </c:title>
        <c:numFmt formatCode="0.0%" sourceLinked="1"/>
        <c:majorTickMark val="none"/>
        <c:tickLblPos val="nextTo"/>
        <c:crossAx val="127562496"/>
        <c:crosses val="autoZero"/>
        <c:crossBetween val="between"/>
      </c:valAx>
      <c:dTable>
        <c:showHorzBorder val="1"/>
        <c:showVertBorder val="1"/>
        <c:showOutline val="1"/>
        <c:showKeys val="1"/>
      </c:dTable>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lmoore</dc:creator>
  <cp:keywords/>
  <dc:description/>
  <cp:lastModifiedBy>bboals</cp:lastModifiedBy>
  <cp:revision>2</cp:revision>
  <cp:lastPrinted>2010-01-18T22:43:00Z</cp:lastPrinted>
  <dcterms:created xsi:type="dcterms:W3CDTF">2010-02-15T19:41:00Z</dcterms:created>
  <dcterms:modified xsi:type="dcterms:W3CDTF">2010-02-15T19:41:00Z</dcterms:modified>
</cp:coreProperties>
</file>